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10F1F">
      <w:pPr>
        <w:spacing w:line="276" w:lineRule="auto"/>
        <w:jc w:val="center"/>
        <w:rPr>
          <w:kern w:val="0"/>
          <w:szCs w:val="21"/>
        </w:rPr>
      </w:pPr>
    </w:p>
    <w:p w14:paraId="7AB930A7">
      <w:pPr>
        <w:spacing w:line="276" w:lineRule="auto"/>
        <w:jc w:val="center"/>
        <w:rPr>
          <w:b/>
          <w:szCs w:val="21"/>
        </w:rPr>
      </w:pPr>
      <w:r>
        <w:rPr>
          <w:kern w:val="0"/>
          <w:szCs w:val="21"/>
        </w:rPr>
        <w:t>《</w:t>
      </w:r>
      <w:r>
        <w:rPr>
          <w:b/>
          <w:szCs w:val="21"/>
        </w:rPr>
        <w:t>肥料中着色材料使用技术规范</w:t>
      </w:r>
      <w:r>
        <w:rPr>
          <w:kern w:val="0"/>
          <w:szCs w:val="21"/>
        </w:rPr>
        <w:t>》</w:t>
      </w:r>
      <w:r>
        <w:rPr>
          <w:b/>
          <w:szCs w:val="21"/>
        </w:rPr>
        <w:t>团体标准修订编制说明</w:t>
      </w:r>
    </w:p>
    <w:p w14:paraId="2D8C748D">
      <w:pPr>
        <w:spacing w:line="276" w:lineRule="auto"/>
        <w:jc w:val="center"/>
        <w:rPr>
          <w:b/>
          <w:szCs w:val="21"/>
        </w:rPr>
      </w:pPr>
      <w:r>
        <w:rPr>
          <w:b/>
          <w:szCs w:val="21"/>
        </w:rPr>
        <w:t>（</w:t>
      </w:r>
      <w:r>
        <w:rPr>
          <w:rFonts w:hint="eastAsia"/>
          <w:b/>
          <w:szCs w:val="21"/>
        </w:rPr>
        <w:t>征求意见稿</w:t>
      </w:r>
      <w:r>
        <w:rPr>
          <w:b/>
          <w:szCs w:val="21"/>
        </w:rPr>
        <w:t>）</w:t>
      </w:r>
      <w:bookmarkStart w:id="0" w:name="_GoBack"/>
      <w:bookmarkEnd w:id="0"/>
    </w:p>
    <w:p w14:paraId="005FFEB2">
      <w:pPr>
        <w:spacing w:line="360" w:lineRule="auto"/>
        <w:rPr>
          <w:kern w:val="0"/>
          <w:szCs w:val="21"/>
        </w:rPr>
      </w:pPr>
      <w:r>
        <w:rPr>
          <w:b/>
          <w:kern w:val="0"/>
          <w:szCs w:val="21"/>
        </w:rPr>
        <w:t xml:space="preserve">一、工作简况 </w:t>
      </w:r>
    </w:p>
    <w:p w14:paraId="7DBAB25A">
      <w:pPr>
        <w:spacing w:line="360" w:lineRule="auto"/>
        <w:rPr>
          <w:b/>
          <w:kern w:val="0"/>
          <w:szCs w:val="21"/>
        </w:rPr>
      </w:pPr>
      <w:r>
        <w:rPr>
          <w:b/>
          <w:kern w:val="0"/>
          <w:szCs w:val="21"/>
        </w:rPr>
        <w:t>1 任务来源</w:t>
      </w:r>
    </w:p>
    <w:p w14:paraId="7E590FAB">
      <w:pPr>
        <w:spacing w:line="360" w:lineRule="auto"/>
        <w:ind w:firstLine="420"/>
        <w:rPr>
          <w:kern w:val="0"/>
          <w:szCs w:val="21"/>
        </w:rPr>
      </w:pPr>
      <w:r>
        <w:rPr>
          <w:kern w:val="0"/>
          <w:szCs w:val="21"/>
        </w:rPr>
        <w:t>《肥料中着色材料使用技术规范》团体标准制定项目由中国磷复肥工业协会于2025年5月6日以中磷协（2025）14号文“关于同意《肥料中着色材料使用技术规范》团体标准立项的通知”批准立项。由上海化工研究院有限公司、金正大生态工程集团股份有限公司、成都云图控股股份有限公司、湖北富邦科技股份有限公司、武汉强盛科技有限公司、新乡市腾砚化工有限公司、苏州世名科技股份有限公司</w:t>
      </w:r>
      <w:r>
        <w:rPr>
          <w:rFonts w:hint="eastAsia"/>
          <w:kern w:val="0"/>
          <w:szCs w:val="21"/>
          <w:lang w:eastAsia="zh-CN"/>
        </w:rPr>
        <w:t>、</w:t>
      </w:r>
      <w:r>
        <w:rPr>
          <w:rFonts w:hint="eastAsia"/>
          <w:kern w:val="0"/>
          <w:szCs w:val="21"/>
          <w:lang w:val="en-US" w:eastAsia="zh-CN"/>
        </w:rPr>
        <w:t>中国磷复肥工业协会</w:t>
      </w:r>
      <w:r>
        <w:rPr>
          <w:kern w:val="0"/>
          <w:szCs w:val="21"/>
        </w:rPr>
        <w:t>等共同起草。</w:t>
      </w:r>
    </w:p>
    <w:p w14:paraId="39BB0DC8">
      <w:pPr>
        <w:spacing w:line="360" w:lineRule="auto"/>
        <w:rPr>
          <w:b/>
          <w:kern w:val="0"/>
          <w:szCs w:val="21"/>
        </w:rPr>
      </w:pPr>
      <w:r>
        <w:rPr>
          <w:b/>
          <w:kern w:val="0"/>
          <w:szCs w:val="21"/>
        </w:rPr>
        <w:t>2标准研究背景</w:t>
      </w:r>
    </w:p>
    <w:p w14:paraId="2298B3FA">
      <w:pPr>
        <w:spacing w:line="360" w:lineRule="auto"/>
        <w:ind w:firstLine="420" w:firstLineChars="200"/>
        <w:rPr>
          <w:szCs w:val="21"/>
        </w:rPr>
      </w:pPr>
      <w:r>
        <w:rPr>
          <w:szCs w:val="21"/>
        </w:rPr>
        <w:t>肥料染色由来已久，已经是行业内的普遍现象，肥料着色材料种类繁多，其价格、使用量、安全风险参差不齐，特别是其中的有机类颜料染料可能含有芳香胺、多氯联苯、多氯苯酚、氯苯、氯甲苯等有毒有害成分。其中偶氮染料是指分子结构中含有至少一个偶氮基（-N=N-）的合成染料，是目前世界上生产和使用量最大的合成染料之一。据统计，全球约三分之二的合成染料属于偶氮染料，品种超过2000种，年产量约60万吨。这类染料因其色谱齐全、色光良好、染色牢度较高而被广泛应用。而其中，部分偶氮染料在特定条件下能够分解产生致癌芳香胺，这类偶氮染料被称为禁用偶氮染料，约占全部偶氮染料的7%至8%。分解产生的致癌芳香胺可以通过呼吸道、消化道和皮肤等进入人体或动物体，使细胞内DNA 发生结构与功能的变化，引起病变和诱发癌变。</w:t>
      </w:r>
    </w:p>
    <w:p w14:paraId="3E3DF697">
      <w:pPr>
        <w:spacing w:line="360" w:lineRule="auto"/>
        <w:ind w:firstLine="420" w:firstLineChars="200"/>
        <w:rPr>
          <w:szCs w:val="21"/>
        </w:rPr>
      </w:pPr>
      <w:r>
        <w:rPr>
          <w:szCs w:val="21"/>
        </w:rPr>
        <w:t>肥料染色材料的使用既不能改良土壤、提升肥力、改善土壤微生物群落，又不能提高肥料利用率、提高作物产量和品质，还可能给土壤带来额外的负担，一些有毒的着色剂甚至可能造成土壤污染，带来环境风险。目前行业上恰恰缺乏对于肥料中色素/着色材料/着色剂/染色剂的监管规定。一些不良企业钻监管的空子，使用价格较低，有安全风险的有机偶氮类染料生产肥料产品，或通过染色冒充高档高效肥料谋取暴利，导致劣币驱逐良币。</w:t>
      </w:r>
    </w:p>
    <w:p w14:paraId="54BC24B2">
      <w:pPr>
        <w:spacing w:line="360" w:lineRule="auto"/>
        <w:ind w:firstLine="420" w:firstLineChars="200"/>
        <w:rPr>
          <w:szCs w:val="21"/>
        </w:rPr>
      </w:pPr>
      <w:r>
        <w:rPr>
          <w:szCs w:val="21"/>
        </w:rPr>
        <w:t>肥料色素现有一项农业行业标准：NY/T 3503-2019《肥料 着色材料使用风险控制准则》，将着色材料分为零级、高级和控制风险三类，但并未提供三类风险等级的着色材料清单，而是描述未“已证明或公布……的着色材料”，缺乏可操作性。另一方面，对于控制风险的着色材料，NY/T 3503提供了限量成分的限量要求和检测方法，但均是针对着色材料本身的，而非针对肥料产品，缺少对使用了着色材料的肥料产品中有害成分进行检测和监管的技术手段。</w:t>
      </w:r>
    </w:p>
    <w:p w14:paraId="3393AF12">
      <w:pPr>
        <w:spacing w:line="360" w:lineRule="auto"/>
        <w:ind w:firstLine="420" w:firstLineChars="200"/>
        <w:rPr>
          <w:szCs w:val="21"/>
        </w:rPr>
      </w:pPr>
      <w:r>
        <w:rPr>
          <w:szCs w:val="21"/>
        </w:rPr>
        <w:t>起草小组对肥料生产企业对着色材料的使用情况进行了问卷调查，调查结果如下：</w:t>
      </w:r>
    </w:p>
    <w:p w14:paraId="3CCBEBCC">
      <w:pPr>
        <w:spacing w:line="360" w:lineRule="auto"/>
        <w:ind w:firstLine="420" w:firstLineChars="200"/>
        <w:rPr>
          <w:szCs w:val="21"/>
        </w:rPr>
      </w:pPr>
      <w:r>
        <w:rPr>
          <w:szCs w:val="21"/>
        </w:rPr>
        <w:t>1）生产中会使用着色材料的肥料产品：</w:t>
      </w:r>
    </w:p>
    <w:p w14:paraId="0E73630C">
      <w:pPr>
        <w:spacing w:line="360" w:lineRule="auto"/>
        <w:ind w:firstLine="420" w:firstLineChars="200"/>
        <w:rPr>
          <w:szCs w:val="21"/>
        </w:rPr>
      </w:pPr>
      <w:r>
        <w:rPr>
          <w:szCs w:val="21"/>
        </w:rPr>
        <w:drawing>
          <wp:inline distT="0" distB="0" distL="0" distR="0">
            <wp:extent cx="3976370" cy="1737360"/>
            <wp:effectExtent l="0" t="0" r="508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5"/>
                    <a:stretch>
                      <a:fillRect/>
                    </a:stretch>
                  </pic:blipFill>
                  <pic:spPr>
                    <a:xfrm>
                      <a:off x="0" y="0"/>
                      <a:ext cx="3993828" cy="1744955"/>
                    </a:xfrm>
                    <a:prstGeom prst="rect">
                      <a:avLst/>
                    </a:prstGeom>
                  </pic:spPr>
                </pic:pic>
              </a:graphicData>
            </a:graphic>
          </wp:inline>
        </w:drawing>
      </w:r>
    </w:p>
    <w:p w14:paraId="5873F28F">
      <w:pPr>
        <w:spacing w:line="360" w:lineRule="auto"/>
        <w:ind w:firstLine="420" w:firstLineChars="200"/>
        <w:rPr>
          <w:szCs w:val="21"/>
        </w:rPr>
      </w:pPr>
      <w:r>
        <w:rPr>
          <w:szCs w:val="21"/>
        </w:rPr>
        <w:t>2）主要使用着色材料的颜色：</w:t>
      </w:r>
    </w:p>
    <w:p w14:paraId="3CDC0836">
      <w:pPr>
        <w:spacing w:line="360" w:lineRule="auto"/>
        <w:ind w:firstLine="420" w:firstLineChars="200"/>
        <w:rPr>
          <w:szCs w:val="21"/>
        </w:rPr>
      </w:pPr>
      <w:r>
        <w:rPr>
          <w:szCs w:val="21"/>
        </w:rPr>
        <w:drawing>
          <wp:inline distT="0" distB="0" distL="0" distR="0">
            <wp:extent cx="4023360" cy="1748790"/>
            <wp:effectExtent l="0" t="0" r="0" b="381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6"/>
                    <a:stretch>
                      <a:fillRect/>
                    </a:stretch>
                  </pic:blipFill>
                  <pic:spPr>
                    <a:xfrm>
                      <a:off x="0" y="0"/>
                      <a:ext cx="4036763" cy="1754967"/>
                    </a:xfrm>
                    <a:prstGeom prst="rect">
                      <a:avLst/>
                    </a:prstGeom>
                  </pic:spPr>
                </pic:pic>
              </a:graphicData>
            </a:graphic>
          </wp:inline>
        </w:drawing>
      </w:r>
    </w:p>
    <w:p w14:paraId="1AD1728B">
      <w:pPr>
        <w:spacing w:line="360" w:lineRule="auto"/>
        <w:ind w:firstLine="420" w:firstLineChars="200"/>
        <w:rPr>
          <w:szCs w:val="21"/>
        </w:rPr>
      </w:pPr>
      <w:r>
        <w:rPr>
          <w:szCs w:val="21"/>
        </w:rPr>
        <w:t>3）对于肥料生产中是否有应该使用着色材料的观点：</w:t>
      </w:r>
    </w:p>
    <w:p w14:paraId="60154714">
      <w:pPr>
        <w:spacing w:line="360" w:lineRule="auto"/>
        <w:ind w:firstLine="420" w:firstLineChars="200"/>
        <w:rPr>
          <w:szCs w:val="21"/>
        </w:rPr>
      </w:pPr>
      <w:r>
        <w:rPr>
          <w:szCs w:val="21"/>
        </w:rPr>
        <w:drawing>
          <wp:inline distT="0" distB="0" distL="0" distR="0">
            <wp:extent cx="5274310" cy="2474595"/>
            <wp:effectExtent l="0" t="0" r="2540" b="190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a:stretch>
                      <a:fillRect/>
                    </a:stretch>
                  </pic:blipFill>
                  <pic:spPr>
                    <a:xfrm>
                      <a:off x="0" y="0"/>
                      <a:ext cx="5274310" cy="2474595"/>
                    </a:xfrm>
                    <a:prstGeom prst="rect">
                      <a:avLst/>
                    </a:prstGeom>
                  </pic:spPr>
                </pic:pic>
              </a:graphicData>
            </a:graphic>
          </wp:inline>
        </w:drawing>
      </w:r>
    </w:p>
    <w:p w14:paraId="5C74DFF0">
      <w:pPr>
        <w:spacing w:line="360" w:lineRule="auto"/>
        <w:ind w:firstLine="420" w:firstLineChars="200"/>
        <w:rPr>
          <w:szCs w:val="21"/>
        </w:rPr>
      </w:pPr>
      <w:r>
        <w:rPr>
          <w:szCs w:val="21"/>
        </w:rPr>
        <w:t>4）若制定肥料中着色材料使用规范，您的意见和建议：</w:t>
      </w:r>
    </w:p>
    <w:p w14:paraId="440CB33A">
      <w:pPr>
        <w:pStyle w:val="22"/>
        <w:numPr>
          <w:ilvl w:val="0"/>
          <w:numId w:val="5"/>
        </w:numPr>
        <w:spacing w:line="360" w:lineRule="auto"/>
        <w:ind w:firstLineChars="0"/>
        <w:rPr>
          <w:szCs w:val="21"/>
        </w:rPr>
      </w:pPr>
      <w:r>
        <w:rPr>
          <w:szCs w:val="21"/>
        </w:rPr>
        <w:t>使用无害可降解材料</w:t>
      </w:r>
    </w:p>
    <w:p w14:paraId="36449223">
      <w:pPr>
        <w:pStyle w:val="22"/>
        <w:numPr>
          <w:ilvl w:val="0"/>
          <w:numId w:val="5"/>
        </w:numPr>
        <w:spacing w:line="360" w:lineRule="auto"/>
        <w:ind w:firstLineChars="0"/>
        <w:rPr>
          <w:szCs w:val="21"/>
        </w:rPr>
      </w:pPr>
      <w:r>
        <w:rPr>
          <w:szCs w:val="21"/>
        </w:rPr>
        <w:t>着色剂与防结剂配合使用，支持制定规范，有效防控产品中有毒有害物质，建议设定最高添加量和基本着色剂品类，防止因降低成本导致的乱添加有毒有害颜料；适当着色有利于提高肥料辨识度，但不应该以色泽作为主要卖点，引导用户忽视产品的含量和功能</w:t>
      </w:r>
    </w:p>
    <w:p w14:paraId="7FA708ED">
      <w:pPr>
        <w:pStyle w:val="22"/>
        <w:numPr>
          <w:ilvl w:val="0"/>
          <w:numId w:val="5"/>
        </w:numPr>
        <w:spacing w:line="360" w:lineRule="auto"/>
        <w:ind w:firstLineChars="0"/>
        <w:rPr>
          <w:szCs w:val="21"/>
        </w:rPr>
      </w:pPr>
      <w:r>
        <w:rPr>
          <w:szCs w:val="21"/>
        </w:rPr>
        <w:t>不建议使用着色材料，建议用肥料增效成分来着色</w:t>
      </w:r>
    </w:p>
    <w:p w14:paraId="460E5F7D">
      <w:pPr>
        <w:pStyle w:val="22"/>
        <w:numPr>
          <w:ilvl w:val="0"/>
          <w:numId w:val="5"/>
        </w:numPr>
        <w:spacing w:line="360" w:lineRule="auto"/>
        <w:ind w:firstLineChars="0"/>
        <w:rPr>
          <w:szCs w:val="21"/>
        </w:rPr>
      </w:pPr>
      <w:r>
        <w:rPr>
          <w:szCs w:val="21"/>
        </w:rPr>
        <w:t>不使用着色材料</w:t>
      </w:r>
    </w:p>
    <w:p w14:paraId="2286B308">
      <w:pPr>
        <w:pStyle w:val="22"/>
        <w:numPr>
          <w:ilvl w:val="0"/>
          <w:numId w:val="5"/>
        </w:numPr>
        <w:spacing w:line="360" w:lineRule="auto"/>
        <w:ind w:firstLineChars="0"/>
        <w:rPr>
          <w:szCs w:val="21"/>
        </w:rPr>
      </w:pPr>
      <w:r>
        <w:rPr>
          <w:szCs w:val="21"/>
        </w:rPr>
        <w:t>在不影响环境的情况下，制定着色剂的使用种类范围和农用标准。</w:t>
      </w:r>
    </w:p>
    <w:p w14:paraId="248EEE6F">
      <w:pPr>
        <w:pStyle w:val="22"/>
        <w:numPr>
          <w:ilvl w:val="0"/>
          <w:numId w:val="5"/>
        </w:numPr>
        <w:spacing w:line="360" w:lineRule="auto"/>
        <w:ind w:firstLineChars="0"/>
        <w:rPr>
          <w:szCs w:val="21"/>
        </w:rPr>
      </w:pPr>
      <w:r>
        <w:rPr>
          <w:szCs w:val="21"/>
        </w:rPr>
        <w:t>建议不加。</w:t>
      </w:r>
    </w:p>
    <w:p w14:paraId="1B8A7542">
      <w:pPr>
        <w:pStyle w:val="22"/>
        <w:numPr>
          <w:ilvl w:val="0"/>
          <w:numId w:val="5"/>
        </w:numPr>
        <w:spacing w:line="360" w:lineRule="auto"/>
        <w:ind w:firstLineChars="0"/>
        <w:rPr>
          <w:szCs w:val="21"/>
        </w:rPr>
      </w:pPr>
      <w:r>
        <w:rPr>
          <w:szCs w:val="21"/>
        </w:rPr>
        <w:t>使用无机惰性染料，不影响环境，对作物无害。</w:t>
      </w:r>
    </w:p>
    <w:p w14:paraId="7B83896E">
      <w:pPr>
        <w:spacing w:line="360" w:lineRule="auto"/>
        <w:rPr>
          <w:b/>
          <w:kern w:val="0"/>
          <w:szCs w:val="21"/>
        </w:rPr>
      </w:pPr>
      <w:r>
        <w:rPr>
          <w:b/>
          <w:kern w:val="0"/>
          <w:szCs w:val="21"/>
        </w:rPr>
        <w:t>3 主要工作过程</w:t>
      </w:r>
    </w:p>
    <w:p w14:paraId="793FBB63">
      <w:pPr>
        <w:pStyle w:val="22"/>
        <w:widowControl/>
        <w:spacing w:line="360" w:lineRule="auto"/>
        <w:rPr>
          <w:kern w:val="0"/>
          <w:szCs w:val="21"/>
        </w:rPr>
      </w:pPr>
      <w:r>
        <w:rPr>
          <w:kern w:val="0"/>
          <w:szCs w:val="21"/>
        </w:rPr>
        <w:t>接到标准立项文件后，上海化工研究院有限公司、金正大生态工程集团股份有限公司、成都云图控股股份有限公司、湖北富邦科技股份有限公司、武汉强盛科技有限公司、新乡市腾砚化工有限公司、苏州世名科技股份有限公司</w:t>
      </w:r>
      <w:r>
        <w:rPr>
          <w:rFonts w:hint="eastAsia"/>
          <w:kern w:val="0"/>
          <w:szCs w:val="21"/>
          <w:lang w:eastAsia="zh-CN"/>
        </w:rPr>
        <w:t>、</w:t>
      </w:r>
      <w:r>
        <w:rPr>
          <w:rFonts w:hint="eastAsia"/>
          <w:kern w:val="0"/>
          <w:szCs w:val="21"/>
          <w:lang w:val="en-US" w:eastAsia="zh-CN"/>
        </w:rPr>
        <w:t>中国磷复肥工业协会</w:t>
      </w:r>
      <w:r>
        <w:rPr>
          <w:kern w:val="0"/>
          <w:szCs w:val="21"/>
        </w:rPr>
        <w:t>共同组成标准起草工作组。起草小组成员包括：黄河清、牛彦超、张洪山、李玲、阚夕国、杨勇、周志斌、包雪梅、王金平、熊伟、杜好臣、张文龙、杜长森、周华</w:t>
      </w:r>
      <w:r>
        <w:rPr>
          <w:rFonts w:hint="eastAsia"/>
          <w:kern w:val="0"/>
          <w:szCs w:val="21"/>
          <w:lang w:eastAsia="zh-CN"/>
        </w:rPr>
        <w:t>、</w:t>
      </w:r>
      <w:r>
        <w:rPr>
          <w:rFonts w:hint="eastAsia"/>
          <w:kern w:val="0"/>
          <w:szCs w:val="21"/>
          <w:lang w:val="en-US" w:eastAsia="zh-CN"/>
        </w:rPr>
        <w:t>冯尚善、赵占诗</w:t>
      </w:r>
      <w:r>
        <w:rPr>
          <w:kern w:val="0"/>
          <w:szCs w:val="21"/>
        </w:rPr>
        <w:t>。</w:t>
      </w:r>
    </w:p>
    <w:p w14:paraId="119E3402">
      <w:pPr>
        <w:pStyle w:val="22"/>
        <w:widowControl/>
        <w:spacing w:line="360" w:lineRule="auto"/>
        <w:rPr>
          <w:szCs w:val="21"/>
        </w:rPr>
      </w:pPr>
      <w:r>
        <w:rPr>
          <w:szCs w:val="21"/>
        </w:rPr>
        <w:t>主要起草过程如下：</w:t>
      </w:r>
    </w:p>
    <w:p w14:paraId="57D3A504">
      <w:pPr>
        <w:spacing w:line="360" w:lineRule="auto"/>
        <w:ind w:firstLine="420" w:firstLineChars="200"/>
        <w:rPr>
          <w:kern w:val="0"/>
          <w:szCs w:val="21"/>
        </w:rPr>
      </w:pPr>
      <w:r>
        <w:rPr>
          <w:kern w:val="0"/>
          <w:szCs w:val="21"/>
        </w:rPr>
        <w:t>1. 启动会：2025.07.10标准编制单位召开了项目启动会，汇报、讨论标准框架内容解读、前期工作和工作计划。并于启动会上正式成立《肥料中着色材料使用技术规范》团体标准起草小组。</w:t>
      </w:r>
    </w:p>
    <w:p w14:paraId="65E2D7A7">
      <w:pPr>
        <w:spacing w:line="360" w:lineRule="auto"/>
        <w:ind w:firstLine="420" w:firstLineChars="200"/>
        <w:rPr>
          <w:kern w:val="0"/>
          <w:szCs w:val="21"/>
        </w:rPr>
      </w:pPr>
      <w:r>
        <w:rPr>
          <w:kern w:val="0"/>
          <w:szCs w:val="21"/>
        </w:rPr>
        <w:t>2. 标准编制：2025年7-2026年2月，标准起草小组进行了市场调研与样品收集，开发并验证了肥料中致癌芳香胺检测方法，并形成讨论稿和编制说明。</w:t>
      </w:r>
    </w:p>
    <w:p w14:paraId="149DBCAF">
      <w:pPr>
        <w:spacing w:line="360" w:lineRule="auto"/>
        <w:ind w:firstLine="420" w:firstLineChars="200"/>
        <w:rPr>
          <w:kern w:val="0"/>
          <w:szCs w:val="21"/>
        </w:rPr>
      </w:pPr>
      <w:r>
        <w:rPr>
          <w:rFonts w:hint="eastAsia"/>
          <w:kern w:val="0"/>
          <w:szCs w:val="21"/>
        </w:rPr>
        <w:t>3.讨论会：2026年4月21日，在山东泰安召开了标准讨论会，各参编单位对标准讨论稿及编制说明进行了讨论。</w:t>
      </w:r>
    </w:p>
    <w:p w14:paraId="59A1E88F">
      <w:pPr>
        <w:spacing w:line="360" w:lineRule="auto"/>
        <w:ind w:firstLine="420" w:firstLineChars="200"/>
        <w:rPr>
          <w:kern w:val="0"/>
          <w:szCs w:val="21"/>
        </w:rPr>
      </w:pPr>
      <w:r>
        <w:rPr>
          <w:rFonts w:hint="eastAsia"/>
          <w:kern w:val="0"/>
          <w:szCs w:val="21"/>
        </w:rPr>
        <w:t>4.标准修改：2026年4月-2026年6月，标准起草小组根据讨论会意见对标准讨论稿及编制说明进行了修改。</w:t>
      </w:r>
    </w:p>
    <w:p w14:paraId="7827ECCC">
      <w:pPr>
        <w:spacing w:line="360" w:lineRule="auto"/>
        <w:rPr>
          <w:b/>
          <w:kern w:val="0"/>
          <w:szCs w:val="21"/>
        </w:rPr>
      </w:pPr>
      <w:r>
        <w:rPr>
          <w:b/>
          <w:kern w:val="0"/>
          <w:szCs w:val="21"/>
        </w:rPr>
        <w:t>二、标准编制原则</w:t>
      </w:r>
    </w:p>
    <w:p w14:paraId="2EB4488B">
      <w:pPr>
        <w:spacing w:line="360" w:lineRule="auto"/>
        <w:ind w:firstLine="420"/>
        <w:rPr>
          <w:color w:val="000000"/>
          <w:szCs w:val="21"/>
        </w:rPr>
      </w:pPr>
      <w:r>
        <w:rPr>
          <w:rStyle w:val="20"/>
          <w:rFonts w:hint="default" w:ascii="Times New Roman" w:hAnsi="Times New Roman"/>
          <w:sz w:val="21"/>
          <w:szCs w:val="21"/>
        </w:rPr>
        <w:t xml:space="preserve">标准编制遵循“先进性，实用性，统一性，规范性”的原则，按照 </w:t>
      </w:r>
      <w:r>
        <w:rPr>
          <w:rStyle w:val="21"/>
          <w:rFonts w:ascii="Times New Roman" w:hAnsi="Times New Roman"/>
          <w:sz w:val="21"/>
          <w:szCs w:val="21"/>
        </w:rPr>
        <w:t>GB/T 1.1-2020</w:t>
      </w:r>
      <w:r>
        <w:rPr>
          <w:rStyle w:val="20"/>
          <w:rFonts w:hint="default" w:ascii="Times New Roman" w:hAnsi="Times New Roman"/>
          <w:sz w:val="21"/>
          <w:szCs w:val="21"/>
        </w:rPr>
        <w:t xml:space="preserve">《标准化工作导则第 </w:t>
      </w:r>
      <w:r>
        <w:rPr>
          <w:rStyle w:val="21"/>
          <w:rFonts w:ascii="Times New Roman" w:hAnsi="Times New Roman"/>
          <w:sz w:val="21"/>
          <w:szCs w:val="21"/>
        </w:rPr>
        <w:t xml:space="preserve">1 </w:t>
      </w:r>
      <w:r>
        <w:rPr>
          <w:rStyle w:val="20"/>
          <w:rFonts w:hint="default" w:ascii="Times New Roman" w:hAnsi="Times New Roman"/>
          <w:sz w:val="21"/>
          <w:szCs w:val="21"/>
        </w:rPr>
        <w:t xml:space="preserve">部分：标准的结构和编写规则》和 </w:t>
      </w:r>
      <w:r>
        <w:rPr>
          <w:rStyle w:val="21"/>
          <w:rFonts w:ascii="Times New Roman" w:hAnsi="Times New Roman"/>
          <w:sz w:val="21"/>
          <w:szCs w:val="21"/>
        </w:rPr>
        <w:t>GB/T 20001.4-2015</w:t>
      </w:r>
      <w:r>
        <w:rPr>
          <w:rStyle w:val="20"/>
          <w:rFonts w:hint="default" w:ascii="Times New Roman" w:hAnsi="Times New Roman"/>
          <w:sz w:val="21"/>
          <w:szCs w:val="21"/>
        </w:rPr>
        <w:t xml:space="preserve">《标准编写规则第 </w:t>
      </w:r>
      <w:r>
        <w:rPr>
          <w:rStyle w:val="21"/>
          <w:rFonts w:ascii="Times New Roman" w:hAnsi="Times New Roman"/>
          <w:sz w:val="21"/>
          <w:szCs w:val="21"/>
        </w:rPr>
        <w:t xml:space="preserve">4 </w:t>
      </w:r>
      <w:r>
        <w:rPr>
          <w:rStyle w:val="20"/>
          <w:rFonts w:hint="default" w:ascii="Times New Roman" w:hAnsi="Times New Roman"/>
          <w:sz w:val="21"/>
          <w:szCs w:val="21"/>
        </w:rPr>
        <w:t>部分：试验方法标准》进行编制。</w:t>
      </w:r>
    </w:p>
    <w:p w14:paraId="554FCED7">
      <w:pPr>
        <w:spacing w:line="360" w:lineRule="auto"/>
        <w:ind w:firstLine="420" w:firstLineChars="200"/>
        <w:rPr>
          <w:rStyle w:val="20"/>
          <w:rFonts w:hint="default" w:ascii="Times New Roman" w:hAnsi="Times New Roman"/>
          <w:sz w:val="21"/>
          <w:szCs w:val="21"/>
        </w:rPr>
      </w:pPr>
      <w:r>
        <w:rPr>
          <w:rStyle w:val="20"/>
          <w:rFonts w:hint="default" w:ascii="Times New Roman" w:hAnsi="Times New Roman"/>
          <w:sz w:val="21"/>
          <w:szCs w:val="21"/>
        </w:rPr>
        <w:t>起草小组在充分收集、认真研究相关 标准及资料的基础上，结合本实验室的条件研究确立了</w:t>
      </w:r>
      <w:r>
        <w:rPr>
          <w:kern w:val="0"/>
          <w:szCs w:val="21"/>
        </w:rPr>
        <w:t>肥料中致癌芳香胺提取与检测</w:t>
      </w:r>
      <w:r>
        <w:rPr>
          <w:rStyle w:val="20"/>
          <w:rFonts w:hint="default" w:ascii="Times New Roman" w:hAnsi="Times New Roman"/>
          <w:sz w:val="21"/>
          <w:szCs w:val="21"/>
        </w:rPr>
        <w:t>的方法。</w:t>
      </w:r>
    </w:p>
    <w:p w14:paraId="74CAE87B">
      <w:pPr>
        <w:spacing w:line="360" w:lineRule="auto"/>
        <w:ind w:firstLine="420"/>
        <w:rPr>
          <w:rStyle w:val="20"/>
          <w:rFonts w:hint="default" w:ascii="Times New Roman" w:hAnsi="Times New Roman"/>
          <w:sz w:val="21"/>
          <w:szCs w:val="21"/>
        </w:rPr>
      </w:pPr>
      <w:r>
        <w:rPr>
          <w:rStyle w:val="20"/>
          <w:rFonts w:hint="default" w:ascii="Times New Roman" w:hAnsi="Times New Roman"/>
          <w:sz w:val="21"/>
          <w:szCs w:val="21"/>
        </w:rPr>
        <w:t>本文件规定了肥料中着色材料使用的术语和定义、要求、试验方法及安全性风险评估方法。</w:t>
      </w:r>
    </w:p>
    <w:p w14:paraId="5A21597D">
      <w:pPr>
        <w:spacing w:line="360" w:lineRule="auto"/>
        <w:ind w:firstLine="420"/>
        <w:rPr>
          <w:rStyle w:val="20"/>
          <w:rFonts w:hint="default" w:ascii="Times New Roman" w:hAnsi="Times New Roman"/>
          <w:sz w:val="21"/>
          <w:szCs w:val="21"/>
        </w:rPr>
      </w:pPr>
      <w:r>
        <w:rPr>
          <w:rStyle w:val="20"/>
          <w:rFonts w:hint="default" w:ascii="Times New Roman" w:hAnsi="Times New Roman"/>
          <w:sz w:val="21"/>
          <w:szCs w:val="21"/>
        </w:rPr>
        <w:t>本文件适用于为使产品具有特定颜色而添加着色材料的肥料。</w:t>
      </w:r>
    </w:p>
    <w:p w14:paraId="5C18E4C2">
      <w:pPr>
        <w:spacing w:line="360" w:lineRule="auto"/>
        <w:ind w:firstLine="420"/>
        <w:rPr>
          <w:rStyle w:val="20"/>
          <w:rFonts w:hint="default" w:ascii="Times New Roman" w:hAnsi="Times New Roman"/>
          <w:sz w:val="21"/>
          <w:szCs w:val="21"/>
        </w:rPr>
      </w:pPr>
      <w:r>
        <w:rPr>
          <w:rStyle w:val="20"/>
          <w:rFonts w:hint="default" w:ascii="Times New Roman" w:hAnsi="Times New Roman"/>
          <w:sz w:val="21"/>
          <w:szCs w:val="21"/>
        </w:rPr>
        <w:t>肥料中所添加的含有天然颜色的养分元素或有益物质不属于着色材料。</w:t>
      </w:r>
    </w:p>
    <w:p w14:paraId="7B8D950C">
      <w:pPr>
        <w:spacing w:line="360" w:lineRule="auto"/>
        <w:rPr>
          <w:b/>
          <w:bCs/>
          <w:szCs w:val="21"/>
        </w:rPr>
      </w:pPr>
      <w:r>
        <w:rPr>
          <w:b/>
          <w:bCs/>
          <w:szCs w:val="21"/>
        </w:rPr>
        <w:t>三、标准主要条文或技术内容的依据</w:t>
      </w:r>
      <w:r>
        <w:rPr>
          <w:rFonts w:hint="eastAsia"/>
          <w:b/>
          <w:bCs/>
          <w:szCs w:val="21"/>
          <w:lang w:eastAsia="zh-CN"/>
        </w:rPr>
        <w:t>：</w:t>
      </w:r>
      <w:r>
        <w:rPr>
          <w:b/>
          <w:bCs/>
          <w:szCs w:val="21"/>
        </w:rPr>
        <w:t>专利情况说明</w:t>
      </w:r>
    </w:p>
    <w:p w14:paraId="5529682A">
      <w:pPr>
        <w:spacing w:line="360" w:lineRule="auto"/>
        <w:rPr>
          <w:szCs w:val="21"/>
        </w:rPr>
      </w:pPr>
      <w:r>
        <w:rPr>
          <w:szCs w:val="21"/>
        </w:rPr>
        <w:tab/>
      </w:r>
      <w:r>
        <w:rPr>
          <w:szCs w:val="21"/>
        </w:rPr>
        <w:t>本文件主要条文及技术内容依据NY/T 3503-2019 《肥料着色材料使用风险控制准则》、GB 38400-2019 《肥料中有毒有害物质限量要求》，禁用偶氮染料</w:t>
      </w:r>
      <w:r>
        <w:rPr>
          <w:rFonts w:hint="eastAsia"/>
          <w:szCs w:val="21"/>
        </w:rPr>
        <w:t>、致癌染料清单、致敏染料清单</w:t>
      </w:r>
      <w:r>
        <w:rPr>
          <w:szCs w:val="21"/>
        </w:rPr>
        <w:t>参考GB/T 18885-2020《生态纺织品技术要求》。</w:t>
      </w:r>
    </w:p>
    <w:p w14:paraId="0C0CBC1F">
      <w:pPr>
        <w:spacing w:line="360" w:lineRule="auto"/>
        <w:rPr>
          <w:b/>
          <w:bCs/>
          <w:szCs w:val="21"/>
        </w:rPr>
      </w:pPr>
      <w:r>
        <w:rPr>
          <w:b/>
          <w:bCs/>
          <w:szCs w:val="21"/>
        </w:rPr>
        <w:t>四、主要试验、验证及试行结果</w:t>
      </w:r>
    </w:p>
    <w:p w14:paraId="0C50FCD7">
      <w:pPr>
        <w:widowControl/>
        <w:spacing w:line="360" w:lineRule="auto"/>
        <w:ind w:firstLine="420" w:firstLineChars="200"/>
        <w:jc w:val="left"/>
        <w:rPr>
          <w:szCs w:val="21"/>
        </w:rPr>
      </w:pPr>
      <w:r>
        <w:rPr>
          <w:szCs w:val="21"/>
        </w:rPr>
        <w:t>肥料中禁用偶氮染料的测定方法</w:t>
      </w:r>
      <w:r>
        <w:rPr>
          <w:rFonts w:hint="eastAsia"/>
          <w:szCs w:val="21"/>
        </w:rPr>
        <w:t>参照GB/T 17592-2024《纺织品 禁用偶氮染料的测定》，对方法进行验证</w:t>
      </w:r>
      <w:r>
        <w:rPr>
          <w:szCs w:val="21"/>
        </w:rPr>
        <w:t>：</w:t>
      </w:r>
    </w:p>
    <w:p w14:paraId="2CC0E0FD">
      <w:pPr>
        <w:pStyle w:val="22"/>
        <w:numPr>
          <w:ilvl w:val="0"/>
          <w:numId w:val="6"/>
        </w:numPr>
        <w:spacing w:line="360" w:lineRule="auto"/>
        <w:ind w:firstLineChars="0"/>
        <w:rPr>
          <w:b/>
          <w:bCs/>
          <w:szCs w:val="21"/>
        </w:rPr>
      </w:pPr>
      <w:r>
        <w:rPr>
          <w:b/>
          <w:bCs/>
          <w:szCs w:val="21"/>
        </w:rPr>
        <w:t>试验样品</w:t>
      </w:r>
    </w:p>
    <w:p w14:paraId="3C586774">
      <w:pPr>
        <w:widowControl/>
        <w:spacing w:line="360" w:lineRule="auto"/>
        <w:ind w:firstLine="420"/>
        <w:jc w:val="left"/>
        <w:rPr>
          <w:szCs w:val="21"/>
        </w:rPr>
      </w:pPr>
      <w:r>
        <w:rPr>
          <w:szCs w:val="21"/>
        </w:rPr>
        <w:t>研究选取了添加了不同着色材料的复合肥料共8种。着色材料分别为：柠檬黄、金黄</w:t>
      </w:r>
      <w:r>
        <w:rPr>
          <w:rFonts w:hint="eastAsia"/>
          <w:szCs w:val="21"/>
        </w:rPr>
        <w:t>（0.2g/t）</w:t>
      </w:r>
      <w:r>
        <w:rPr>
          <w:szCs w:val="21"/>
        </w:rPr>
        <w:t>、金黄</w:t>
      </w:r>
      <w:r>
        <w:rPr>
          <w:rFonts w:hint="eastAsia"/>
          <w:szCs w:val="21"/>
        </w:rPr>
        <w:t>（0.15g/t）</w:t>
      </w:r>
      <w:r>
        <w:rPr>
          <w:szCs w:val="21"/>
        </w:rPr>
        <w:t>、酞青绿、果绿、利索尔大红、棕色防结剂粉、铁黑。</w:t>
      </w:r>
    </w:p>
    <w:p w14:paraId="7187BA29">
      <w:pPr>
        <w:widowControl/>
        <w:spacing w:line="360" w:lineRule="auto"/>
        <w:ind w:firstLine="420"/>
        <w:jc w:val="left"/>
        <w:rPr>
          <w:szCs w:val="21"/>
        </w:rPr>
      </w:pPr>
      <w:r>
        <w:rPr>
          <w:szCs w:val="21"/>
        </w:rPr>
        <w:t>取实验样品100g，研磨样品至粒径小于0.50 mm，过0.50 mm筛网，混匀，置于洁净干燥的带盖瓶中。</w:t>
      </w:r>
    </w:p>
    <w:p w14:paraId="6631BEEF">
      <w:pPr>
        <w:pStyle w:val="22"/>
        <w:numPr>
          <w:ilvl w:val="0"/>
          <w:numId w:val="6"/>
        </w:numPr>
        <w:spacing w:line="360" w:lineRule="auto"/>
        <w:ind w:firstLineChars="0"/>
        <w:rPr>
          <w:b/>
          <w:bCs/>
          <w:szCs w:val="21"/>
        </w:rPr>
      </w:pPr>
      <w:r>
        <w:rPr>
          <w:b/>
          <w:bCs/>
          <w:szCs w:val="21"/>
        </w:rPr>
        <w:t>实验步骤</w:t>
      </w:r>
    </w:p>
    <w:p w14:paraId="194FA500">
      <w:pPr>
        <w:pStyle w:val="22"/>
        <w:widowControl/>
        <w:numPr>
          <w:ilvl w:val="0"/>
          <w:numId w:val="7"/>
        </w:numPr>
        <w:wordWrap w:val="0"/>
        <w:overflowPunct w:val="0"/>
        <w:autoSpaceDE w:val="0"/>
        <w:autoSpaceDN w:val="0"/>
        <w:spacing w:before="156" w:beforeLines="50" w:after="156" w:afterLines="50" w:line="360" w:lineRule="auto"/>
        <w:ind w:firstLineChars="0"/>
        <w:textAlignment w:val="baseline"/>
        <w:outlineLvl w:val="3"/>
        <w:rPr>
          <w:vanish/>
          <w:kern w:val="21"/>
          <w:szCs w:val="21"/>
        </w:rPr>
      </w:pPr>
    </w:p>
    <w:p w14:paraId="1BDAE923">
      <w:pPr>
        <w:pStyle w:val="22"/>
        <w:widowControl/>
        <w:numPr>
          <w:ilvl w:val="0"/>
          <w:numId w:val="7"/>
        </w:numPr>
        <w:wordWrap w:val="0"/>
        <w:overflowPunct w:val="0"/>
        <w:autoSpaceDE w:val="0"/>
        <w:autoSpaceDN w:val="0"/>
        <w:spacing w:before="156" w:beforeLines="50" w:after="156" w:afterLines="50" w:line="360" w:lineRule="auto"/>
        <w:ind w:firstLineChars="0"/>
        <w:textAlignment w:val="baseline"/>
        <w:outlineLvl w:val="3"/>
        <w:rPr>
          <w:vanish/>
          <w:kern w:val="21"/>
          <w:szCs w:val="21"/>
        </w:rPr>
      </w:pPr>
    </w:p>
    <w:p w14:paraId="0620483A">
      <w:pPr>
        <w:pStyle w:val="32"/>
        <w:spacing w:line="360" w:lineRule="auto"/>
        <w:ind w:firstLine="420"/>
        <w:rPr>
          <w:rFonts w:ascii="Times New Roman"/>
          <w:szCs w:val="21"/>
        </w:rPr>
      </w:pPr>
      <w:r>
        <w:rPr>
          <w:rFonts w:ascii="Times New Roman"/>
          <w:szCs w:val="21"/>
        </w:rPr>
        <w:t>将试样置于反应器中，加入15mL预热至(70±2)℃的柠檬酸盐氢氧化钠缓冲溶液。密闭反应器，振摇使试样完全浸润，置于已预热至(70±2)℃的恒温加热器中保温(30±1)min。然后加入3.0 mL连二亚硫酸钠水溶液，立即密闭振摇，再于(70±2)℃下保温(30±1) min，取出后3min内冷却至室温(20℃~25℃)。</w:t>
      </w:r>
    </w:p>
    <w:p w14:paraId="7E16E7CF">
      <w:pPr>
        <w:pStyle w:val="32"/>
        <w:spacing w:line="360" w:lineRule="auto"/>
        <w:ind w:firstLine="420"/>
        <w:rPr>
          <w:rFonts w:ascii="Times New Roman"/>
          <w:szCs w:val="21"/>
        </w:rPr>
      </w:pPr>
      <w:r>
        <w:rPr>
          <w:rFonts w:ascii="Times New Roman"/>
          <w:szCs w:val="21"/>
        </w:rPr>
        <w:t>在反应器中加入0.2mL氢氧化钠水溶液，剧烈振摇。将反应液转移至硅藻土柱中，静置吸附15 min。在反应器中加入10mL叔丁基甲醚，剧烈振摇。待15min吸附完成后，立即将叔丁基甲醚和试样一同倒入硅藻土柱中。再加入10mL叔丁基甲醚冲洗反应器，将洗液转移至硅藻土柱中，最后将60mL叔丁基甲醚直接加入硅藻土柱中。收集洗脱液于100mL具标准磨口的圆底烧瓶或适用于真空蒸发设备的玻璃容器中。</w:t>
      </w:r>
    </w:p>
    <w:p w14:paraId="2D7CF918">
      <w:pPr>
        <w:pStyle w:val="32"/>
        <w:spacing w:line="360" w:lineRule="auto"/>
        <w:ind w:firstLine="420"/>
        <w:rPr>
          <w:rFonts w:ascii="Times New Roman"/>
          <w:szCs w:val="21"/>
        </w:rPr>
      </w:pPr>
      <w:r>
        <w:rPr>
          <w:rFonts w:ascii="Times New Roman"/>
          <w:szCs w:val="21"/>
        </w:rPr>
        <w:t>在不高于50℃的真空旋转蒸发器中将叔丁基甲醚洗脱液浓缩至近1 mL(不可蒸干)。立即用乙腈将浓缩的提取液或残余物定容到2.0mL, 经滤膜过滤后及时上机分析。</w:t>
      </w:r>
    </w:p>
    <w:p w14:paraId="31EF724A">
      <w:pPr>
        <w:pStyle w:val="32"/>
        <w:spacing w:line="360" w:lineRule="auto"/>
        <w:ind w:firstLine="420"/>
        <w:rPr>
          <w:rFonts w:ascii="Times New Roman"/>
          <w:szCs w:val="21"/>
        </w:rPr>
      </w:pPr>
      <w:r>
        <w:rPr>
          <w:rFonts w:ascii="Times New Roman"/>
          <w:szCs w:val="21"/>
        </w:rPr>
        <w:t>分别配制浓度为0 mg/L、2 mg/L、10 mg/L、20 mg/L、40 mg/L、50 mg/L的26种芳香胺定量标准工作溶液。</w:t>
      </w:r>
    </w:p>
    <w:p w14:paraId="284CAB5C">
      <w:pPr>
        <w:pStyle w:val="32"/>
        <w:spacing w:line="360" w:lineRule="auto"/>
        <w:ind w:firstLine="420"/>
        <w:rPr>
          <w:rFonts w:ascii="Times New Roman"/>
          <w:szCs w:val="21"/>
        </w:rPr>
      </w:pPr>
      <w:r>
        <w:rPr>
          <w:rFonts w:ascii="Times New Roman"/>
          <w:szCs w:val="21"/>
        </w:rPr>
        <w:t>26种芳香胺为表</w:t>
      </w:r>
      <w:r>
        <w:rPr>
          <w:rFonts w:hint="eastAsia" w:ascii="Times New Roman"/>
          <w:szCs w:val="21"/>
        </w:rPr>
        <w:t>1</w:t>
      </w:r>
      <w:r>
        <w:rPr>
          <w:rFonts w:ascii="Times New Roman"/>
          <w:szCs w:val="21"/>
        </w:rPr>
        <w:t>中24种致癌芳香胺及苯胺、1,4-苯二胺。</w:t>
      </w:r>
    </w:p>
    <w:p w14:paraId="0F62C890">
      <w:pPr>
        <w:pStyle w:val="32"/>
        <w:ind w:firstLine="420"/>
        <w:rPr>
          <w:rFonts w:ascii="Times New Roman"/>
          <w:szCs w:val="21"/>
        </w:rPr>
      </w:pPr>
    </w:p>
    <w:p w14:paraId="510A25E3">
      <w:pPr>
        <w:pStyle w:val="32"/>
        <w:ind w:firstLine="420"/>
        <w:jc w:val="center"/>
        <w:rPr>
          <w:rFonts w:ascii="Times New Roman"/>
          <w:szCs w:val="21"/>
        </w:rPr>
      </w:pPr>
      <w:r>
        <w:rPr>
          <w:rFonts w:ascii="Times New Roman"/>
          <w:szCs w:val="21"/>
        </w:rPr>
        <w:t>表1 24种致癌芳香胺</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815"/>
        <w:gridCol w:w="6150"/>
        <w:gridCol w:w="1361"/>
      </w:tblGrid>
      <w:tr w14:paraId="6FC141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983" w:type="dxa"/>
            <w:tcBorders>
              <w:top w:val="single" w:color="auto" w:sz="8" w:space="0"/>
              <w:bottom w:val="single" w:color="auto" w:sz="8" w:space="0"/>
            </w:tcBorders>
          </w:tcPr>
          <w:p w14:paraId="601156FF">
            <w:pPr>
              <w:pStyle w:val="46"/>
              <w:rPr>
                <w:rFonts w:hAnsi="Times New Roman" w:eastAsia="宋体"/>
                <w:sz w:val="21"/>
                <w:szCs w:val="21"/>
              </w:rPr>
            </w:pPr>
            <w:r>
              <w:rPr>
                <w:rFonts w:hAnsi="Times New Roman" w:eastAsia="宋体"/>
                <w:sz w:val="21"/>
                <w:szCs w:val="21"/>
              </w:rPr>
              <w:t>序号</w:t>
            </w:r>
          </w:p>
        </w:tc>
        <w:tc>
          <w:tcPr>
            <w:tcW w:w="6804" w:type="dxa"/>
            <w:tcBorders>
              <w:top w:val="single" w:color="auto" w:sz="8" w:space="0"/>
              <w:bottom w:val="single" w:color="auto" w:sz="8" w:space="0"/>
            </w:tcBorders>
          </w:tcPr>
          <w:p w14:paraId="144366C1">
            <w:pPr>
              <w:pStyle w:val="46"/>
              <w:rPr>
                <w:rFonts w:hAnsi="Times New Roman" w:eastAsia="宋体"/>
                <w:sz w:val="21"/>
                <w:szCs w:val="21"/>
              </w:rPr>
            </w:pPr>
            <w:r>
              <w:rPr>
                <w:rFonts w:hAnsi="Times New Roman" w:eastAsia="宋体"/>
                <w:sz w:val="21"/>
                <w:szCs w:val="21"/>
              </w:rPr>
              <w:t>芳香胺名称</w:t>
            </w:r>
          </w:p>
        </w:tc>
        <w:tc>
          <w:tcPr>
            <w:tcW w:w="1547" w:type="dxa"/>
            <w:tcBorders>
              <w:top w:val="single" w:color="auto" w:sz="8" w:space="0"/>
              <w:bottom w:val="single" w:color="auto" w:sz="8" w:space="0"/>
            </w:tcBorders>
          </w:tcPr>
          <w:p w14:paraId="78C9C616">
            <w:pPr>
              <w:pStyle w:val="46"/>
              <w:rPr>
                <w:rFonts w:hAnsi="Times New Roman" w:eastAsia="宋体"/>
                <w:sz w:val="21"/>
                <w:szCs w:val="21"/>
              </w:rPr>
            </w:pPr>
            <w:r>
              <w:rPr>
                <w:rFonts w:hAnsi="Times New Roman" w:eastAsia="宋体"/>
                <w:sz w:val="21"/>
                <w:szCs w:val="21"/>
              </w:rPr>
              <w:t>CAS号</w:t>
            </w:r>
          </w:p>
        </w:tc>
      </w:tr>
      <w:tr w14:paraId="0B60BE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Borders>
              <w:top w:val="single" w:color="auto" w:sz="8" w:space="0"/>
            </w:tcBorders>
          </w:tcPr>
          <w:p w14:paraId="63F095C1">
            <w:pPr>
              <w:pStyle w:val="46"/>
              <w:rPr>
                <w:rFonts w:hAnsi="Times New Roman" w:eastAsia="宋体"/>
                <w:sz w:val="21"/>
                <w:szCs w:val="21"/>
              </w:rPr>
            </w:pPr>
            <w:r>
              <w:rPr>
                <w:rFonts w:hAnsi="Times New Roman" w:eastAsia="宋体"/>
                <w:sz w:val="21"/>
                <w:szCs w:val="21"/>
              </w:rPr>
              <w:t>1</w:t>
            </w:r>
          </w:p>
        </w:tc>
        <w:tc>
          <w:tcPr>
            <w:tcW w:w="6804" w:type="dxa"/>
            <w:tcBorders>
              <w:top w:val="single" w:color="auto" w:sz="8" w:space="0"/>
            </w:tcBorders>
          </w:tcPr>
          <w:p w14:paraId="1FADE9CD">
            <w:pPr>
              <w:pStyle w:val="46"/>
              <w:jc w:val="left"/>
              <w:rPr>
                <w:rFonts w:hAnsi="Times New Roman" w:eastAsia="宋体"/>
                <w:sz w:val="21"/>
                <w:szCs w:val="21"/>
              </w:rPr>
            </w:pPr>
            <w:r>
              <w:rPr>
                <w:rFonts w:hAnsi="Times New Roman" w:eastAsia="宋体"/>
                <w:sz w:val="21"/>
                <w:szCs w:val="21"/>
              </w:rPr>
              <w:t>4-氨基联苯（4-aminodiphenyl）</w:t>
            </w:r>
          </w:p>
        </w:tc>
        <w:tc>
          <w:tcPr>
            <w:tcW w:w="1547" w:type="dxa"/>
            <w:tcBorders>
              <w:top w:val="single" w:color="auto" w:sz="8" w:space="0"/>
            </w:tcBorders>
          </w:tcPr>
          <w:p w14:paraId="6DEF2B65">
            <w:pPr>
              <w:pStyle w:val="46"/>
              <w:rPr>
                <w:rFonts w:hAnsi="Times New Roman" w:eastAsia="宋体"/>
                <w:sz w:val="21"/>
                <w:szCs w:val="21"/>
              </w:rPr>
            </w:pPr>
            <w:r>
              <w:rPr>
                <w:rFonts w:hAnsi="Times New Roman" w:eastAsia="宋体"/>
                <w:sz w:val="21"/>
                <w:szCs w:val="21"/>
              </w:rPr>
              <w:t>92-67-1</w:t>
            </w:r>
          </w:p>
        </w:tc>
      </w:tr>
      <w:tr w14:paraId="4499AC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19714626">
            <w:pPr>
              <w:pStyle w:val="46"/>
              <w:rPr>
                <w:rFonts w:hAnsi="Times New Roman" w:eastAsia="宋体"/>
                <w:sz w:val="21"/>
                <w:szCs w:val="21"/>
              </w:rPr>
            </w:pPr>
            <w:r>
              <w:rPr>
                <w:rFonts w:hAnsi="Times New Roman" w:eastAsia="宋体"/>
                <w:sz w:val="21"/>
                <w:szCs w:val="21"/>
              </w:rPr>
              <w:t>2</w:t>
            </w:r>
          </w:p>
        </w:tc>
        <w:tc>
          <w:tcPr>
            <w:tcW w:w="6804" w:type="dxa"/>
          </w:tcPr>
          <w:p w14:paraId="299CDFCC">
            <w:pPr>
              <w:pStyle w:val="46"/>
              <w:jc w:val="left"/>
              <w:rPr>
                <w:rFonts w:hAnsi="Times New Roman" w:eastAsia="宋体"/>
                <w:sz w:val="21"/>
                <w:szCs w:val="21"/>
              </w:rPr>
            </w:pPr>
            <w:r>
              <w:rPr>
                <w:rFonts w:hAnsi="Times New Roman" w:eastAsia="宋体"/>
                <w:sz w:val="21"/>
                <w:szCs w:val="21"/>
              </w:rPr>
              <w:t>联苯胺（benzidine）</w:t>
            </w:r>
          </w:p>
        </w:tc>
        <w:tc>
          <w:tcPr>
            <w:tcW w:w="1547" w:type="dxa"/>
          </w:tcPr>
          <w:p w14:paraId="02424D3C">
            <w:pPr>
              <w:pStyle w:val="46"/>
              <w:rPr>
                <w:rFonts w:hAnsi="Times New Roman" w:eastAsia="宋体"/>
                <w:sz w:val="21"/>
                <w:szCs w:val="21"/>
              </w:rPr>
            </w:pPr>
            <w:r>
              <w:rPr>
                <w:rFonts w:hAnsi="Times New Roman" w:eastAsia="宋体"/>
                <w:sz w:val="21"/>
                <w:szCs w:val="21"/>
              </w:rPr>
              <w:t>92-87-5</w:t>
            </w:r>
          </w:p>
        </w:tc>
      </w:tr>
      <w:tr w14:paraId="553080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566DEDDF">
            <w:pPr>
              <w:pStyle w:val="46"/>
              <w:rPr>
                <w:rFonts w:hAnsi="Times New Roman" w:eastAsia="宋体"/>
                <w:sz w:val="21"/>
                <w:szCs w:val="21"/>
              </w:rPr>
            </w:pPr>
            <w:r>
              <w:rPr>
                <w:rFonts w:hAnsi="Times New Roman" w:eastAsia="宋体"/>
                <w:sz w:val="21"/>
                <w:szCs w:val="21"/>
              </w:rPr>
              <w:t>3</w:t>
            </w:r>
          </w:p>
        </w:tc>
        <w:tc>
          <w:tcPr>
            <w:tcW w:w="6804" w:type="dxa"/>
          </w:tcPr>
          <w:p w14:paraId="524B5A1B">
            <w:pPr>
              <w:pStyle w:val="46"/>
              <w:jc w:val="left"/>
              <w:rPr>
                <w:rFonts w:hAnsi="Times New Roman" w:eastAsia="宋体"/>
                <w:sz w:val="21"/>
                <w:szCs w:val="21"/>
              </w:rPr>
            </w:pPr>
            <w:r>
              <w:rPr>
                <w:rFonts w:hAnsi="Times New Roman" w:eastAsia="宋体"/>
                <w:sz w:val="21"/>
                <w:szCs w:val="21"/>
              </w:rPr>
              <w:t>4-氯邻甲苯胺（4-chloro-o-toluidine）</w:t>
            </w:r>
          </w:p>
        </w:tc>
        <w:tc>
          <w:tcPr>
            <w:tcW w:w="1547" w:type="dxa"/>
          </w:tcPr>
          <w:p w14:paraId="2FCC8C56">
            <w:pPr>
              <w:pStyle w:val="46"/>
              <w:rPr>
                <w:rFonts w:hAnsi="Times New Roman" w:eastAsia="宋体"/>
                <w:sz w:val="21"/>
                <w:szCs w:val="21"/>
              </w:rPr>
            </w:pPr>
            <w:r>
              <w:rPr>
                <w:rFonts w:hAnsi="Times New Roman" w:eastAsia="宋体"/>
                <w:sz w:val="21"/>
                <w:szCs w:val="21"/>
              </w:rPr>
              <w:t>95-69-2</w:t>
            </w:r>
          </w:p>
        </w:tc>
      </w:tr>
      <w:tr w14:paraId="61A4CA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40BEB6B8">
            <w:pPr>
              <w:pStyle w:val="46"/>
              <w:rPr>
                <w:rFonts w:hAnsi="Times New Roman" w:eastAsia="宋体"/>
                <w:sz w:val="21"/>
                <w:szCs w:val="21"/>
              </w:rPr>
            </w:pPr>
            <w:r>
              <w:rPr>
                <w:rFonts w:hAnsi="Times New Roman" w:eastAsia="宋体"/>
                <w:sz w:val="21"/>
                <w:szCs w:val="21"/>
              </w:rPr>
              <w:t>4</w:t>
            </w:r>
          </w:p>
        </w:tc>
        <w:tc>
          <w:tcPr>
            <w:tcW w:w="6804" w:type="dxa"/>
          </w:tcPr>
          <w:p w14:paraId="6F749339">
            <w:pPr>
              <w:pStyle w:val="46"/>
              <w:jc w:val="left"/>
              <w:rPr>
                <w:rFonts w:hAnsi="Times New Roman" w:eastAsia="宋体"/>
                <w:sz w:val="21"/>
                <w:szCs w:val="21"/>
              </w:rPr>
            </w:pPr>
            <w:r>
              <w:rPr>
                <w:rFonts w:hAnsi="Times New Roman" w:eastAsia="宋体"/>
                <w:sz w:val="21"/>
                <w:szCs w:val="21"/>
              </w:rPr>
              <w:t>2-萘胺（2-naphthylamine）</w:t>
            </w:r>
          </w:p>
        </w:tc>
        <w:tc>
          <w:tcPr>
            <w:tcW w:w="1547" w:type="dxa"/>
          </w:tcPr>
          <w:p w14:paraId="6640DE80">
            <w:pPr>
              <w:pStyle w:val="46"/>
              <w:rPr>
                <w:rFonts w:hAnsi="Times New Roman" w:eastAsia="宋体"/>
                <w:sz w:val="21"/>
                <w:szCs w:val="21"/>
              </w:rPr>
            </w:pPr>
            <w:r>
              <w:rPr>
                <w:rFonts w:hAnsi="Times New Roman" w:eastAsia="宋体"/>
                <w:sz w:val="21"/>
                <w:szCs w:val="21"/>
              </w:rPr>
              <w:t>91-59-8</w:t>
            </w:r>
          </w:p>
        </w:tc>
      </w:tr>
      <w:tr w14:paraId="0F0B54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0A056023">
            <w:pPr>
              <w:pStyle w:val="46"/>
              <w:rPr>
                <w:rFonts w:hAnsi="Times New Roman" w:eastAsia="宋体"/>
                <w:sz w:val="21"/>
                <w:szCs w:val="21"/>
              </w:rPr>
            </w:pPr>
            <w:r>
              <w:rPr>
                <w:rFonts w:hAnsi="Times New Roman" w:eastAsia="宋体"/>
                <w:sz w:val="21"/>
                <w:szCs w:val="21"/>
              </w:rPr>
              <w:t>5</w:t>
            </w:r>
            <w:r>
              <w:rPr>
                <w:rFonts w:hAnsi="Times New Roman" w:eastAsia="宋体"/>
                <w:sz w:val="21"/>
                <w:szCs w:val="21"/>
                <w:vertAlign w:val="superscript"/>
              </w:rPr>
              <w:t>a</w:t>
            </w:r>
          </w:p>
        </w:tc>
        <w:tc>
          <w:tcPr>
            <w:tcW w:w="6804" w:type="dxa"/>
          </w:tcPr>
          <w:p w14:paraId="0B45D8A3">
            <w:pPr>
              <w:pStyle w:val="46"/>
              <w:jc w:val="left"/>
              <w:rPr>
                <w:rFonts w:hAnsi="Times New Roman" w:eastAsia="宋体"/>
                <w:sz w:val="21"/>
                <w:szCs w:val="21"/>
              </w:rPr>
            </w:pPr>
            <w:r>
              <w:rPr>
                <w:rFonts w:hAnsi="Times New Roman" w:eastAsia="宋体"/>
                <w:sz w:val="21"/>
                <w:szCs w:val="21"/>
              </w:rPr>
              <w:t>邻氨基偶氮甲苯（2-aminoazotoluene）</w:t>
            </w:r>
          </w:p>
        </w:tc>
        <w:tc>
          <w:tcPr>
            <w:tcW w:w="1547" w:type="dxa"/>
          </w:tcPr>
          <w:p w14:paraId="1194A85B">
            <w:pPr>
              <w:pStyle w:val="46"/>
              <w:rPr>
                <w:rFonts w:hAnsi="Times New Roman" w:eastAsia="宋体"/>
                <w:sz w:val="21"/>
                <w:szCs w:val="21"/>
              </w:rPr>
            </w:pPr>
            <w:r>
              <w:rPr>
                <w:rFonts w:hAnsi="Times New Roman" w:eastAsia="宋体"/>
                <w:sz w:val="21"/>
                <w:szCs w:val="21"/>
              </w:rPr>
              <w:t>97-56-3</w:t>
            </w:r>
          </w:p>
        </w:tc>
      </w:tr>
      <w:tr w14:paraId="18D9EC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40C68FFF">
            <w:pPr>
              <w:pStyle w:val="46"/>
              <w:rPr>
                <w:rFonts w:hAnsi="Times New Roman" w:eastAsia="宋体"/>
                <w:sz w:val="21"/>
                <w:szCs w:val="21"/>
              </w:rPr>
            </w:pPr>
            <w:r>
              <w:rPr>
                <w:rFonts w:hAnsi="Times New Roman" w:eastAsia="宋体"/>
                <w:sz w:val="21"/>
                <w:szCs w:val="21"/>
              </w:rPr>
              <w:t>6</w:t>
            </w:r>
            <w:r>
              <w:rPr>
                <w:rFonts w:hAnsi="Times New Roman" w:eastAsia="宋体"/>
                <w:sz w:val="21"/>
                <w:szCs w:val="21"/>
                <w:vertAlign w:val="superscript"/>
              </w:rPr>
              <w:t xml:space="preserve"> a</w:t>
            </w:r>
          </w:p>
        </w:tc>
        <w:tc>
          <w:tcPr>
            <w:tcW w:w="6804" w:type="dxa"/>
          </w:tcPr>
          <w:p w14:paraId="1C8EF970">
            <w:pPr>
              <w:pStyle w:val="46"/>
              <w:jc w:val="left"/>
              <w:rPr>
                <w:rFonts w:hAnsi="Times New Roman" w:eastAsia="宋体"/>
                <w:sz w:val="21"/>
                <w:szCs w:val="21"/>
              </w:rPr>
            </w:pPr>
            <w:r>
              <w:rPr>
                <w:rFonts w:hAnsi="Times New Roman" w:eastAsia="宋体"/>
                <w:sz w:val="21"/>
                <w:szCs w:val="21"/>
              </w:rPr>
              <w:t>2-氨基-4-硝基甲苯（2-amino-4-nitrotoluene）</w:t>
            </w:r>
          </w:p>
        </w:tc>
        <w:tc>
          <w:tcPr>
            <w:tcW w:w="1547" w:type="dxa"/>
          </w:tcPr>
          <w:p w14:paraId="34040253">
            <w:pPr>
              <w:pStyle w:val="46"/>
              <w:rPr>
                <w:rFonts w:hAnsi="Times New Roman" w:eastAsia="宋体"/>
                <w:sz w:val="21"/>
                <w:szCs w:val="21"/>
              </w:rPr>
            </w:pPr>
            <w:r>
              <w:rPr>
                <w:rFonts w:hAnsi="Times New Roman" w:eastAsia="宋体"/>
                <w:sz w:val="21"/>
                <w:szCs w:val="21"/>
              </w:rPr>
              <w:t>99-55-8</w:t>
            </w:r>
          </w:p>
        </w:tc>
      </w:tr>
      <w:tr w14:paraId="4225CA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7B4BA1CF">
            <w:pPr>
              <w:pStyle w:val="46"/>
              <w:rPr>
                <w:rFonts w:hAnsi="Times New Roman" w:eastAsia="宋体"/>
                <w:sz w:val="21"/>
                <w:szCs w:val="21"/>
              </w:rPr>
            </w:pPr>
            <w:r>
              <w:rPr>
                <w:rFonts w:hAnsi="Times New Roman" w:eastAsia="宋体"/>
                <w:sz w:val="21"/>
                <w:szCs w:val="21"/>
              </w:rPr>
              <w:t>7</w:t>
            </w:r>
          </w:p>
        </w:tc>
        <w:tc>
          <w:tcPr>
            <w:tcW w:w="6804" w:type="dxa"/>
          </w:tcPr>
          <w:p w14:paraId="1F8B7FDB">
            <w:pPr>
              <w:pStyle w:val="46"/>
              <w:jc w:val="left"/>
              <w:rPr>
                <w:rFonts w:hAnsi="Times New Roman" w:eastAsia="宋体"/>
                <w:sz w:val="21"/>
                <w:szCs w:val="21"/>
              </w:rPr>
            </w:pPr>
            <w:r>
              <w:rPr>
                <w:rFonts w:hAnsi="Times New Roman" w:eastAsia="宋体"/>
                <w:sz w:val="21"/>
                <w:szCs w:val="21"/>
              </w:rPr>
              <w:t>对氯苯胺（p-chloroaniline）</w:t>
            </w:r>
          </w:p>
        </w:tc>
        <w:tc>
          <w:tcPr>
            <w:tcW w:w="1547" w:type="dxa"/>
          </w:tcPr>
          <w:p w14:paraId="45B4BF90">
            <w:pPr>
              <w:pStyle w:val="46"/>
              <w:rPr>
                <w:rFonts w:hAnsi="Times New Roman" w:eastAsia="宋体"/>
                <w:sz w:val="21"/>
                <w:szCs w:val="21"/>
              </w:rPr>
            </w:pPr>
            <w:r>
              <w:rPr>
                <w:rFonts w:hAnsi="Times New Roman" w:eastAsia="宋体"/>
                <w:sz w:val="21"/>
                <w:szCs w:val="21"/>
              </w:rPr>
              <w:t>106-47-8</w:t>
            </w:r>
          </w:p>
        </w:tc>
      </w:tr>
      <w:tr w14:paraId="5D8E31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3ED0029C">
            <w:pPr>
              <w:pStyle w:val="46"/>
              <w:rPr>
                <w:rFonts w:hAnsi="Times New Roman" w:eastAsia="宋体"/>
                <w:sz w:val="21"/>
                <w:szCs w:val="21"/>
              </w:rPr>
            </w:pPr>
            <w:r>
              <w:rPr>
                <w:rFonts w:hAnsi="Times New Roman" w:eastAsia="宋体"/>
                <w:sz w:val="21"/>
                <w:szCs w:val="21"/>
              </w:rPr>
              <w:t>8</w:t>
            </w:r>
          </w:p>
        </w:tc>
        <w:tc>
          <w:tcPr>
            <w:tcW w:w="6804" w:type="dxa"/>
          </w:tcPr>
          <w:p w14:paraId="4D00EB72">
            <w:pPr>
              <w:pStyle w:val="46"/>
              <w:jc w:val="left"/>
              <w:rPr>
                <w:rFonts w:hAnsi="Times New Roman" w:eastAsia="宋体"/>
                <w:sz w:val="21"/>
                <w:szCs w:val="21"/>
              </w:rPr>
            </w:pPr>
            <w:r>
              <w:rPr>
                <w:rFonts w:hAnsi="Times New Roman" w:eastAsia="宋体"/>
                <w:sz w:val="21"/>
                <w:szCs w:val="21"/>
              </w:rPr>
              <w:t>2,4-二氨基苯甲醚（2,4-diaminoanisole）</w:t>
            </w:r>
          </w:p>
        </w:tc>
        <w:tc>
          <w:tcPr>
            <w:tcW w:w="1547" w:type="dxa"/>
          </w:tcPr>
          <w:p w14:paraId="375546E9">
            <w:pPr>
              <w:pStyle w:val="46"/>
              <w:rPr>
                <w:rFonts w:hAnsi="Times New Roman" w:eastAsia="宋体"/>
                <w:sz w:val="21"/>
                <w:szCs w:val="21"/>
              </w:rPr>
            </w:pPr>
            <w:r>
              <w:rPr>
                <w:rFonts w:hAnsi="Times New Roman" w:eastAsia="宋体"/>
                <w:sz w:val="21"/>
                <w:szCs w:val="21"/>
              </w:rPr>
              <w:t>615-05-4</w:t>
            </w:r>
          </w:p>
        </w:tc>
      </w:tr>
      <w:tr w14:paraId="36D586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331F71A0">
            <w:pPr>
              <w:pStyle w:val="46"/>
              <w:rPr>
                <w:rFonts w:hAnsi="Times New Roman" w:eastAsia="宋体"/>
                <w:sz w:val="21"/>
                <w:szCs w:val="21"/>
              </w:rPr>
            </w:pPr>
            <w:r>
              <w:rPr>
                <w:rFonts w:hAnsi="Times New Roman" w:eastAsia="宋体"/>
                <w:sz w:val="21"/>
                <w:szCs w:val="21"/>
              </w:rPr>
              <w:t>9</w:t>
            </w:r>
          </w:p>
        </w:tc>
        <w:tc>
          <w:tcPr>
            <w:tcW w:w="6804" w:type="dxa"/>
          </w:tcPr>
          <w:p w14:paraId="5856D6FF">
            <w:pPr>
              <w:pStyle w:val="46"/>
              <w:jc w:val="left"/>
              <w:rPr>
                <w:rFonts w:hAnsi="Times New Roman" w:eastAsia="宋体"/>
                <w:sz w:val="21"/>
                <w:szCs w:val="21"/>
              </w:rPr>
            </w:pPr>
            <w:r>
              <w:rPr>
                <w:rFonts w:hAnsi="Times New Roman" w:eastAsia="宋体"/>
                <w:sz w:val="21"/>
                <w:szCs w:val="21"/>
              </w:rPr>
              <w:t>4,4'-二氨基二苯甲烷（4,4'-diaminodiphenylmethane）</w:t>
            </w:r>
          </w:p>
        </w:tc>
        <w:tc>
          <w:tcPr>
            <w:tcW w:w="1547" w:type="dxa"/>
          </w:tcPr>
          <w:p w14:paraId="1682E69B">
            <w:pPr>
              <w:pStyle w:val="46"/>
              <w:rPr>
                <w:rFonts w:hAnsi="Times New Roman" w:eastAsia="宋体"/>
                <w:sz w:val="21"/>
                <w:szCs w:val="21"/>
              </w:rPr>
            </w:pPr>
            <w:r>
              <w:rPr>
                <w:rFonts w:hAnsi="Times New Roman" w:eastAsia="宋体"/>
                <w:sz w:val="21"/>
                <w:szCs w:val="21"/>
              </w:rPr>
              <w:t>101-77-9</w:t>
            </w:r>
          </w:p>
        </w:tc>
      </w:tr>
      <w:tr w14:paraId="25A2DB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388FED75">
            <w:pPr>
              <w:pStyle w:val="46"/>
              <w:rPr>
                <w:rFonts w:hAnsi="Times New Roman" w:eastAsia="宋体"/>
                <w:sz w:val="21"/>
                <w:szCs w:val="21"/>
              </w:rPr>
            </w:pPr>
            <w:r>
              <w:rPr>
                <w:rFonts w:hAnsi="Times New Roman" w:eastAsia="宋体"/>
                <w:sz w:val="21"/>
                <w:szCs w:val="21"/>
              </w:rPr>
              <w:t>10</w:t>
            </w:r>
          </w:p>
        </w:tc>
        <w:tc>
          <w:tcPr>
            <w:tcW w:w="6804" w:type="dxa"/>
          </w:tcPr>
          <w:p w14:paraId="04957547">
            <w:pPr>
              <w:pStyle w:val="46"/>
              <w:jc w:val="left"/>
              <w:rPr>
                <w:rFonts w:hAnsi="Times New Roman" w:eastAsia="宋体"/>
                <w:sz w:val="21"/>
                <w:szCs w:val="21"/>
              </w:rPr>
            </w:pPr>
            <w:r>
              <w:rPr>
                <w:rFonts w:hAnsi="Times New Roman" w:eastAsia="宋体"/>
                <w:sz w:val="21"/>
                <w:szCs w:val="21"/>
              </w:rPr>
              <w:t>3,3'-二氯联苯胺（3,3'-dichlorobenzidine）</w:t>
            </w:r>
          </w:p>
        </w:tc>
        <w:tc>
          <w:tcPr>
            <w:tcW w:w="1547" w:type="dxa"/>
          </w:tcPr>
          <w:p w14:paraId="74C0DB1D">
            <w:pPr>
              <w:pStyle w:val="46"/>
              <w:rPr>
                <w:rFonts w:hAnsi="Times New Roman" w:eastAsia="宋体"/>
                <w:sz w:val="21"/>
                <w:szCs w:val="21"/>
              </w:rPr>
            </w:pPr>
            <w:r>
              <w:rPr>
                <w:rFonts w:hAnsi="Times New Roman" w:eastAsia="宋体"/>
                <w:sz w:val="21"/>
                <w:szCs w:val="21"/>
              </w:rPr>
              <w:t>91-94-1</w:t>
            </w:r>
          </w:p>
        </w:tc>
      </w:tr>
      <w:tr w14:paraId="55D087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73D803E4">
            <w:pPr>
              <w:pStyle w:val="46"/>
              <w:rPr>
                <w:rFonts w:hAnsi="Times New Roman" w:eastAsia="宋体"/>
                <w:sz w:val="21"/>
                <w:szCs w:val="21"/>
              </w:rPr>
            </w:pPr>
            <w:r>
              <w:rPr>
                <w:rFonts w:hAnsi="Times New Roman" w:eastAsia="宋体"/>
                <w:sz w:val="21"/>
                <w:szCs w:val="21"/>
              </w:rPr>
              <w:t>11</w:t>
            </w:r>
          </w:p>
        </w:tc>
        <w:tc>
          <w:tcPr>
            <w:tcW w:w="6804" w:type="dxa"/>
          </w:tcPr>
          <w:p w14:paraId="411A44A7">
            <w:pPr>
              <w:pStyle w:val="46"/>
              <w:jc w:val="left"/>
              <w:rPr>
                <w:rFonts w:hAnsi="Times New Roman" w:eastAsia="宋体"/>
                <w:sz w:val="21"/>
                <w:szCs w:val="21"/>
              </w:rPr>
            </w:pPr>
            <w:r>
              <w:rPr>
                <w:rFonts w:hAnsi="Times New Roman" w:eastAsia="宋体"/>
                <w:sz w:val="21"/>
                <w:szCs w:val="21"/>
              </w:rPr>
              <w:t>3,3'-二甲氧基联苯胺（3,3'-dimethoxybenzidine）</w:t>
            </w:r>
          </w:p>
        </w:tc>
        <w:tc>
          <w:tcPr>
            <w:tcW w:w="1547" w:type="dxa"/>
          </w:tcPr>
          <w:p w14:paraId="27C89A34">
            <w:pPr>
              <w:pStyle w:val="46"/>
              <w:rPr>
                <w:rFonts w:hAnsi="Times New Roman" w:eastAsia="宋体"/>
                <w:sz w:val="21"/>
                <w:szCs w:val="21"/>
              </w:rPr>
            </w:pPr>
            <w:r>
              <w:rPr>
                <w:rFonts w:hAnsi="Times New Roman" w:eastAsia="宋体"/>
                <w:sz w:val="21"/>
                <w:szCs w:val="21"/>
              </w:rPr>
              <w:t>119-90-4</w:t>
            </w:r>
          </w:p>
        </w:tc>
      </w:tr>
      <w:tr w14:paraId="6FD4C6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3BDA90A3">
            <w:pPr>
              <w:pStyle w:val="46"/>
              <w:rPr>
                <w:rFonts w:hAnsi="Times New Roman" w:eastAsia="宋体"/>
                <w:sz w:val="21"/>
                <w:szCs w:val="21"/>
              </w:rPr>
            </w:pPr>
            <w:r>
              <w:rPr>
                <w:rFonts w:hAnsi="Times New Roman" w:eastAsia="宋体"/>
                <w:sz w:val="21"/>
                <w:szCs w:val="21"/>
              </w:rPr>
              <w:t>12</w:t>
            </w:r>
          </w:p>
        </w:tc>
        <w:tc>
          <w:tcPr>
            <w:tcW w:w="6804" w:type="dxa"/>
          </w:tcPr>
          <w:p w14:paraId="4AEB818D">
            <w:pPr>
              <w:pStyle w:val="46"/>
              <w:jc w:val="left"/>
              <w:rPr>
                <w:rFonts w:hAnsi="Times New Roman" w:eastAsia="宋体"/>
                <w:sz w:val="21"/>
                <w:szCs w:val="21"/>
              </w:rPr>
            </w:pPr>
            <w:r>
              <w:rPr>
                <w:rFonts w:hAnsi="Times New Roman" w:eastAsia="宋体"/>
                <w:sz w:val="21"/>
                <w:szCs w:val="21"/>
              </w:rPr>
              <w:t>3,3'-二甲基联苯胺（3,3'-dimethylbenzidine）</w:t>
            </w:r>
          </w:p>
        </w:tc>
        <w:tc>
          <w:tcPr>
            <w:tcW w:w="1547" w:type="dxa"/>
          </w:tcPr>
          <w:p w14:paraId="47D5CAE0">
            <w:pPr>
              <w:pStyle w:val="46"/>
              <w:rPr>
                <w:rFonts w:hAnsi="Times New Roman" w:eastAsia="宋体"/>
                <w:sz w:val="21"/>
                <w:szCs w:val="21"/>
              </w:rPr>
            </w:pPr>
            <w:r>
              <w:rPr>
                <w:rFonts w:hAnsi="Times New Roman" w:eastAsia="宋体"/>
                <w:sz w:val="21"/>
                <w:szCs w:val="21"/>
              </w:rPr>
              <w:t>119-93-7</w:t>
            </w:r>
          </w:p>
        </w:tc>
      </w:tr>
      <w:tr w14:paraId="7BD926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50C634AE">
            <w:pPr>
              <w:pStyle w:val="46"/>
              <w:rPr>
                <w:rFonts w:hAnsi="Times New Roman" w:eastAsia="宋体"/>
                <w:sz w:val="21"/>
                <w:szCs w:val="21"/>
              </w:rPr>
            </w:pPr>
            <w:r>
              <w:rPr>
                <w:rFonts w:hAnsi="Times New Roman" w:eastAsia="宋体"/>
                <w:sz w:val="21"/>
                <w:szCs w:val="21"/>
              </w:rPr>
              <w:t>13</w:t>
            </w:r>
          </w:p>
        </w:tc>
        <w:tc>
          <w:tcPr>
            <w:tcW w:w="6804" w:type="dxa"/>
          </w:tcPr>
          <w:p w14:paraId="5EDFD04D">
            <w:pPr>
              <w:pStyle w:val="46"/>
              <w:jc w:val="left"/>
              <w:rPr>
                <w:rFonts w:hAnsi="Times New Roman" w:eastAsia="宋体"/>
                <w:sz w:val="21"/>
                <w:szCs w:val="21"/>
              </w:rPr>
            </w:pPr>
            <w:r>
              <w:rPr>
                <w:rFonts w:hAnsi="Times New Roman" w:eastAsia="宋体"/>
                <w:sz w:val="21"/>
                <w:szCs w:val="21"/>
              </w:rPr>
              <w:t>3,3'-二甲基-4,4’-二氨基二苯甲烷（3,3'-dimethyl-4,4'-diaminodiphenylmethane）</w:t>
            </w:r>
          </w:p>
        </w:tc>
        <w:tc>
          <w:tcPr>
            <w:tcW w:w="1547" w:type="dxa"/>
          </w:tcPr>
          <w:p w14:paraId="4B46F2B0">
            <w:pPr>
              <w:pStyle w:val="46"/>
              <w:rPr>
                <w:rFonts w:hAnsi="Times New Roman" w:eastAsia="宋体"/>
                <w:sz w:val="21"/>
                <w:szCs w:val="21"/>
              </w:rPr>
            </w:pPr>
            <w:r>
              <w:rPr>
                <w:rFonts w:hAnsi="Times New Roman" w:eastAsia="宋体"/>
                <w:sz w:val="21"/>
                <w:szCs w:val="21"/>
              </w:rPr>
              <w:t>838-88-0</w:t>
            </w:r>
          </w:p>
        </w:tc>
      </w:tr>
      <w:tr w14:paraId="4F0754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549A56D3">
            <w:pPr>
              <w:pStyle w:val="46"/>
              <w:rPr>
                <w:rFonts w:hAnsi="Times New Roman" w:eastAsia="宋体"/>
                <w:sz w:val="21"/>
                <w:szCs w:val="21"/>
              </w:rPr>
            </w:pPr>
            <w:r>
              <w:rPr>
                <w:rFonts w:hAnsi="Times New Roman" w:eastAsia="宋体"/>
                <w:sz w:val="21"/>
                <w:szCs w:val="21"/>
              </w:rPr>
              <w:t>14</w:t>
            </w:r>
          </w:p>
        </w:tc>
        <w:tc>
          <w:tcPr>
            <w:tcW w:w="6804" w:type="dxa"/>
          </w:tcPr>
          <w:p w14:paraId="4001CBC5">
            <w:pPr>
              <w:pStyle w:val="46"/>
              <w:jc w:val="left"/>
              <w:rPr>
                <w:rFonts w:hAnsi="Times New Roman" w:eastAsia="宋体"/>
                <w:sz w:val="21"/>
                <w:szCs w:val="21"/>
              </w:rPr>
            </w:pPr>
            <w:r>
              <w:rPr>
                <w:rFonts w:hAnsi="Times New Roman" w:eastAsia="宋体"/>
                <w:sz w:val="21"/>
                <w:szCs w:val="21"/>
              </w:rPr>
              <w:t>2-甲氧基-5-甲基苯胺（2-Methoxy-5-methylaniline）</w:t>
            </w:r>
          </w:p>
        </w:tc>
        <w:tc>
          <w:tcPr>
            <w:tcW w:w="1547" w:type="dxa"/>
          </w:tcPr>
          <w:p w14:paraId="1FF32CB8">
            <w:pPr>
              <w:pStyle w:val="46"/>
              <w:rPr>
                <w:rFonts w:hAnsi="Times New Roman" w:eastAsia="宋体"/>
                <w:sz w:val="21"/>
                <w:szCs w:val="21"/>
              </w:rPr>
            </w:pPr>
            <w:r>
              <w:rPr>
                <w:rFonts w:hAnsi="Times New Roman" w:eastAsia="宋体"/>
                <w:sz w:val="21"/>
                <w:szCs w:val="21"/>
              </w:rPr>
              <w:t>120-71-8</w:t>
            </w:r>
          </w:p>
        </w:tc>
      </w:tr>
      <w:tr w14:paraId="12BF66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674B35A5">
            <w:pPr>
              <w:pStyle w:val="46"/>
              <w:rPr>
                <w:rFonts w:hAnsi="Times New Roman" w:eastAsia="宋体"/>
                <w:sz w:val="21"/>
                <w:szCs w:val="21"/>
              </w:rPr>
            </w:pPr>
            <w:r>
              <w:rPr>
                <w:rFonts w:hAnsi="Times New Roman" w:eastAsia="宋体"/>
                <w:sz w:val="21"/>
                <w:szCs w:val="21"/>
              </w:rPr>
              <w:t>15</w:t>
            </w:r>
          </w:p>
        </w:tc>
        <w:tc>
          <w:tcPr>
            <w:tcW w:w="6804" w:type="dxa"/>
          </w:tcPr>
          <w:p w14:paraId="4B55EA5C">
            <w:pPr>
              <w:pStyle w:val="46"/>
              <w:jc w:val="left"/>
              <w:rPr>
                <w:rFonts w:hAnsi="Times New Roman" w:eastAsia="宋体"/>
                <w:sz w:val="21"/>
                <w:szCs w:val="21"/>
              </w:rPr>
            </w:pPr>
            <w:r>
              <w:rPr>
                <w:rFonts w:hAnsi="Times New Roman" w:eastAsia="宋体"/>
                <w:sz w:val="21"/>
                <w:szCs w:val="21"/>
              </w:rPr>
              <w:t>4,4'-次甲基-双-（2-氯苯胺）[4,4'-methylene-bis-（2-chloroaniline）]</w:t>
            </w:r>
          </w:p>
        </w:tc>
        <w:tc>
          <w:tcPr>
            <w:tcW w:w="1547" w:type="dxa"/>
          </w:tcPr>
          <w:p w14:paraId="3A0CA915">
            <w:pPr>
              <w:pStyle w:val="46"/>
              <w:rPr>
                <w:rFonts w:hAnsi="Times New Roman" w:eastAsia="宋体"/>
                <w:sz w:val="21"/>
                <w:szCs w:val="21"/>
              </w:rPr>
            </w:pPr>
            <w:r>
              <w:rPr>
                <w:rFonts w:hAnsi="Times New Roman" w:eastAsia="宋体"/>
                <w:sz w:val="21"/>
                <w:szCs w:val="21"/>
              </w:rPr>
              <w:t>101-14-4</w:t>
            </w:r>
          </w:p>
        </w:tc>
      </w:tr>
      <w:tr w14:paraId="27577C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53C8DDE7">
            <w:pPr>
              <w:pStyle w:val="46"/>
              <w:rPr>
                <w:rFonts w:hAnsi="Times New Roman" w:eastAsia="宋体"/>
                <w:sz w:val="21"/>
                <w:szCs w:val="21"/>
              </w:rPr>
            </w:pPr>
            <w:r>
              <w:rPr>
                <w:rFonts w:hAnsi="Times New Roman" w:eastAsia="宋体"/>
                <w:sz w:val="21"/>
                <w:szCs w:val="21"/>
              </w:rPr>
              <w:t>16</w:t>
            </w:r>
          </w:p>
        </w:tc>
        <w:tc>
          <w:tcPr>
            <w:tcW w:w="6804" w:type="dxa"/>
          </w:tcPr>
          <w:p w14:paraId="5BF5C840">
            <w:pPr>
              <w:pStyle w:val="46"/>
              <w:jc w:val="left"/>
              <w:rPr>
                <w:rFonts w:hAnsi="Times New Roman" w:eastAsia="宋体"/>
                <w:sz w:val="21"/>
                <w:szCs w:val="21"/>
              </w:rPr>
            </w:pPr>
            <w:r>
              <w:rPr>
                <w:rFonts w:hAnsi="Times New Roman" w:eastAsia="宋体"/>
                <w:sz w:val="21"/>
                <w:szCs w:val="21"/>
              </w:rPr>
              <w:t>4,4’-二氨基二苯醚（4,4'-oxydianiline）</w:t>
            </w:r>
          </w:p>
        </w:tc>
        <w:tc>
          <w:tcPr>
            <w:tcW w:w="1547" w:type="dxa"/>
          </w:tcPr>
          <w:p w14:paraId="7F101736">
            <w:pPr>
              <w:pStyle w:val="46"/>
              <w:rPr>
                <w:rFonts w:hAnsi="Times New Roman" w:eastAsia="宋体"/>
                <w:sz w:val="21"/>
                <w:szCs w:val="21"/>
              </w:rPr>
            </w:pPr>
            <w:r>
              <w:rPr>
                <w:rFonts w:hAnsi="Times New Roman" w:eastAsia="宋体"/>
                <w:sz w:val="21"/>
                <w:szCs w:val="21"/>
              </w:rPr>
              <w:t>101-80-4</w:t>
            </w:r>
          </w:p>
        </w:tc>
      </w:tr>
      <w:tr w14:paraId="27A1DA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6246E3BD">
            <w:pPr>
              <w:pStyle w:val="46"/>
              <w:rPr>
                <w:rFonts w:hAnsi="Times New Roman" w:eastAsia="宋体"/>
                <w:sz w:val="21"/>
                <w:szCs w:val="21"/>
              </w:rPr>
            </w:pPr>
            <w:r>
              <w:rPr>
                <w:rFonts w:hAnsi="Times New Roman" w:eastAsia="宋体"/>
                <w:sz w:val="21"/>
                <w:szCs w:val="21"/>
              </w:rPr>
              <w:t>17</w:t>
            </w:r>
          </w:p>
        </w:tc>
        <w:tc>
          <w:tcPr>
            <w:tcW w:w="6804" w:type="dxa"/>
          </w:tcPr>
          <w:p w14:paraId="549BBBDA">
            <w:pPr>
              <w:pStyle w:val="46"/>
              <w:jc w:val="left"/>
              <w:rPr>
                <w:rFonts w:hAnsi="Times New Roman" w:eastAsia="宋体"/>
                <w:sz w:val="21"/>
                <w:szCs w:val="21"/>
              </w:rPr>
            </w:pPr>
            <w:r>
              <w:rPr>
                <w:rFonts w:hAnsi="Times New Roman" w:eastAsia="宋体"/>
                <w:sz w:val="21"/>
                <w:szCs w:val="21"/>
              </w:rPr>
              <w:t>4,4'-二氨基二苯硫醚（4,4'-thiodianiline）</w:t>
            </w:r>
          </w:p>
        </w:tc>
        <w:tc>
          <w:tcPr>
            <w:tcW w:w="1547" w:type="dxa"/>
          </w:tcPr>
          <w:p w14:paraId="75826D23">
            <w:pPr>
              <w:pStyle w:val="46"/>
              <w:rPr>
                <w:rFonts w:hAnsi="Times New Roman" w:eastAsia="宋体"/>
                <w:sz w:val="21"/>
                <w:szCs w:val="21"/>
              </w:rPr>
            </w:pPr>
            <w:r>
              <w:rPr>
                <w:rFonts w:hAnsi="Times New Roman" w:eastAsia="宋体"/>
                <w:sz w:val="21"/>
                <w:szCs w:val="21"/>
              </w:rPr>
              <w:t>139-65-1</w:t>
            </w:r>
          </w:p>
        </w:tc>
      </w:tr>
      <w:tr w14:paraId="1D4E92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07553F27">
            <w:pPr>
              <w:pStyle w:val="46"/>
              <w:rPr>
                <w:rFonts w:hAnsi="Times New Roman" w:eastAsia="宋体"/>
                <w:sz w:val="21"/>
                <w:szCs w:val="21"/>
              </w:rPr>
            </w:pPr>
            <w:r>
              <w:rPr>
                <w:rFonts w:hAnsi="Times New Roman" w:eastAsia="宋体"/>
                <w:sz w:val="21"/>
                <w:szCs w:val="21"/>
              </w:rPr>
              <w:t>18</w:t>
            </w:r>
          </w:p>
        </w:tc>
        <w:tc>
          <w:tcPr>
            <w:tcW w:w="6804" w:type="dxa"/>
          </w:tcPr>
          <w:p w14:paraId="6C6474DC">
            <w:pPr>
              <w:pStyle w:val="46"/>
              <w:jc w:val="left"/>
              <w:rPr>
                <w:rFonts w:hAnsi="Times New Roman" w:eastAsia="宋体"/>
                <w:sz w:val="21"/>
                <w:szCs w:val="21"/>
              </w:rPr>
            </w:pPr>
            <w:r>
              <w:rPr>
                <w:rFonts w:hAnsi="Times New Roman" w:eastAsia="宋体"/>
                <w:sz w:val="21"/>
                <w:szCs w:val="21"/>
              </w:rPr>
              <w:t>邻甲苯胺（o-toluidine）</w:t>
            </w:r>
          </w:p>
        </w:tc>
        <w:tc>
          <w:tcPr>
            <w:tcW w:w="1547" w:type="dxa"/>
          </w:tcPr>
          <w:p w14:paraId="64E416E1">
            <w:pPr>
              <w:pStyle w:val="46"/>
              <w:rPr>
                <w:rFonts w:hAnsi="Times New Roman" w:eastAsia="宋体"/>
                <w:sz w:val="21"/>
                <w:szCs w:val="21"/>
              </w:rPr>
            </w:pPr>
            <w:r>
              <w:rPr>
                <w:rFonts w:hAnsi="Times New Roman" w:eastAsia="宋体"/>
                <w:sz w:val="21"/>
                <w:szCs w:val="21"/>
              </w:rPr>
              <w:t>95-53-4</w:t>
            </w:r>
          </w:p>
        </w:tc>
      </w:tr>
      <w:tr w14:paraId="419C0A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6A542D85">
            <w:pPr>
              <w:pStyle w:val="46"/>
              <w:rPr>
                <w:rFonts w:hAnsi="Times New Roman" w:eastAsia="宋体"/>
                <w:sz w:val="21"/>
                <w:szCs w:val="21"/>
              </w:rPr>
            </w:pPr>
            <w:r>
              <w:rPr>
                <w:rFonts w:hAnsi="Times New Roman" w:eastAsia="宋体"/>
                <w:sz w:val="21"/>
                <w:szCs w:val="21"/>
              </w:rPr>
              <w:t>19</w:t>
            </w:r>
          </w:p>
        </w:tc>
        <w:tc>
          <w:tcPr>
            <w:tcW w:w="6804" w:type="dxa"/>
          </w:tcPr>
          <w:p w14:paraId="3A6343EC">
            <w:pPr>
              <w:pStyle w:val="46"/>
              <w:jc w:val="left"/>
              <w:rPr>
                <w:rFonts w:hAnsi="Times New Roman" w:eastAsia="宋体"/>
                <w:sz w:val="21"/>
                <w:szCs w:val="21"/>
              </w:rPr>
            </w:pPr>
            <w:r>
              <w:rPr>
                <w:rFonts w:hAnsi="Times New Roman" w:eastAsia="宋体"/>
                <w:sz w:val="21"/>
                <w:szCs w:val="21"/>
              </w:rPr>
              <w:t>2,4-二氨基甲苯（2,4-toluylenediamine）</w:t>
            </w:r>
          </w:p>
        </w:tc>
        <w:tc>
          <w:tcPr>
            <w:tcW w:w="1547" w:type="dxa"/>
          </w:tcPr>
          <w:p w14:paraId="0D319133">
            <w:pPr>
              <w:pStyle w:val="46"/>
              <w:rPr>
                <w:rFonts w:hAnsi="Times New Roman" w:eastAsia="宋体"/>
                <w:sz w:val="21"/>
                <w:szCs w:val="21"/>
              </w:rPr>
            </w:pPr>
            <w:r>
              <w:rPr>
                <w:rFonts w:hAnsi="Times New Roman" w:eastAsia="宋体"/>
                <w:sz w:val="21"/>
                <w:szCs w:val="21"/>
              </w:rPr>
              <w:t>95-80-7</w:t>
            </w:r>
          </w:p>
        </w:tc>
      </w:tr>
      <w:tr w14:paraId="19D60C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1A4D7F78">
            <w:pPr>
              <w:pStyle w:val="46"/>
              <w:rPr>
                <w:rFonts w:hAnsi="Times New Roman" w:eastAsia="宋体"/>
                <w:sz w:val="21"/>
                <w:szCs w:val="21"/>
              </w:rPr>
            </w:pPr>
            <w:r>
              <w:rPr>
                <w:rFonts w:hAnsi="Times New Roman" w:eastAsia="宋体"/>
                <w:sz w:val="21"/>
                <w:szCs w:val="21"/>
              </w:rPr>
              <w:t>20</w:t>
            </w:r>
          </w:p>
        </w:tc>
        <w:tc>
          <w:tcPr>
            <w:tcW w:w="6804" w:type="dxa"/>
          </w:tcPr>
          <w:p w14:paraId="2A1FD392">
            <w:pPr>
              <w:pStyle w:val="46"/>
              <w:jc w:val="left"/>
              <w:rPr>
                <w:rFonts w:hAnsi="Times New Roman" w:eastAsia="宋体"/>
                <w:sz w:val="21"/>
                <w:szCs w:val="21"/>
              </w:rPr>
            </w:pPr>
            <w:r>
              <w:rPr>
                <w:rFonts w:hAnsi="Times New Roman" w:eastAsia="宋体"/>
                <w:sz w:val="21"/>
                <w:szCs w:val="21"/>
              </w:rPr>
              <w:t>2,4,5-三甲基苯胺（2,4,5-trimethylaniline）</w:t>
            </w:r>
          </w:p>
        </w:tc>
        <w:tc>
          <w:tcPr>
            <w:tcW w:w="1547" w:type="dxa"/>
          </w:tcPr>
          <w:p w14:paraId="22044BA0">
            <w:pPr>
              <w:pStyle w:val="46"/>
              <w:rPr>
                <w:rFonts w:hAnsi="Times New Roman" w:eastAsia="宋体"/>
                <w:sz w:val="21"/>
                <w:szCs w:val="21"/>
              </w:rPr>
            </w:pPr>
            <w:r>
              <w:rPr>
                <w:rFonts w:hAnsi="Times New Roman" w:eastAsia="宋体"/>
                <w:sz w:val="21"/>
                <w:szCs w:val="21"/>
              </w:rPr>
              <w:t>137-17-7</w:t>
            </w:r>
          </w:p>
        </w:tc>
      </w:tr>
      <w:tr w14:paraId="3C962F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43B6AA02">
            <w:pPr>
              <w:pStyle w:val="46"/>
              <w:rPr>
                <w:rFonts w:hAnsi="Times New Roman" w:eastAsia="宋体"/>
                <w:sz w:val="21"/>
                <w:szCs w:val="21"/>
              </w:rPr>
            </w:pPr>
            <w:r>
              <w:rPr>
                <w:rFonts w:hAnsi="Times New Roman" w:eastAsia="宋体"/>
                <w:sz w:val="21"/>
                <w:szCs w:val="21"/>
              </w:rPr>
              <w:t>21</w:t>
            </w:r>
          </w:p>
        </w:tc>
        <w:tc>
          <w:tcPr>
            <w:tcW w:w="6804" w:type="dxa"/>
          </w:tcPr>
          <w:p w14:paraId="51A4E0C6">
            <w:pPr>
              <w:pStyle w:val="46"/>
              <w:jc w:val="left"/>
              <w:rPr>
                <w:rFonts w:hAnsi="Times New Roman" w:eastAsia="宋体"/>
                <w:sz w:val="21"/>
                <w:szCs w:val="21"/>
              </w:rPr>
            </w:pPr>
            <w:r>
              <w:rPr>
                <w:rFonts w:hAnsi="Times New Roman" w:eastAsia="宋体"/>
                <w:sz w:val="21"/>
                <w:szCs w:val="21"/>
              </w:rPr>
              <w:t>邻甲氧基苯胺（邻氨基苯甲醚）（2-anisidine）</w:t>
            </w:r>
          </w:p>
        </w:tc>
        <w:tc>
          <w:tcPr>
            <w:tcW w:w="1547" w:type="dxa"/>
          </w:tcPr>
          <w:p w14:paraId="3D4FE1CC">
            <w:pPr>
              <w:pStyle w:val="46"/>
              <w:rPr>
                <w:rFonts w:hAnsi="Times New Roman" w:eastAsia="宋体"/>
                <w:sz w:val="21"/>
                <w:szCs w:val="21"/>
              </w:rPr>
            </w:pPr>
            <w:r>
              <w:rPr>
                <w:rFonts w:hAnsi="Times New Roman" w:eastAsia="宋体"/>
                <w:sz w:val="21"/>
                <w:szCs w:val="21"/>
              </w:rPr>
              <w:t>90-04-0</w:t>
            </w:r>
          </w:p>
        </w:tc>
      </w:tr>
      <w:tr w14:paraId="00CA7E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Pr>
          <w:p w14:paraId="68997958">
            <w:pPr>
              <w:pStyle w:val="46"/>
              <w:rPr>
                <w:rFonts w:hAnsi="Times New Roman" w:eastAsia="宋体"/>
                <w:sz w:val="21"/>
                <w:szCs w:val="21"/>
              </w:rPr>
            </w:pPr>
            <w:r>
              <w:rPr>
                <w:rFonts w:hAnsi="Times New Roman" w:eastAsia="宋体"/>
                <w:sz w:val="21"/>
                <w:szCs w:val="21"/>
              </w:rPr>
              <w:t>22</w:t>
            </w:r>
            <w:r>
              <w:rPr>
                <w:rFonts w:hAnsi="Times New Roman" w:eastAsia="宋体"/>
                <w:sz w:val="21"/>
                <w:szCs w:val="21"/>
                <w:vertAlign w:val="superscript"/>
              </w:rPr>
              <w:t>b</w:t>
            </w:r>
          </w:p>
        </w:tc>
        <w:tc>
          <w:tcPr>
            <w:tcW w:w="6804" w:type="dxa"/>
          </w:tcPr>
          <w:p w14:paraId="62D105B3">
            <w:pPr>
              <w:pStyle w:val="46"/>
              <w:jc w:val="left"/>
              <w:rPr>
                <w:rFonts w:hAnsi="Times New Roman" w:eastAsia="宋体"/>
                <w:sz w:val="21"/>
                <w:szCs w:val="21"/>
              </w:rPr>
            </w:pPr>
            <w:r>
              <w:rPr>
                <w:rFonts w:hAnsi="Times New Roman" w:eastAsia="宋体"/>
                <w:sz w:val="21"/>
                <w:szCs w:val="21"/>
              </w:rPr>
              <w:t>4-氨基偶氮苯（4-aminoazobenzene）</w:t>
            </w:r>
          </w:p>
        </w:tc>
        <w:tc>
          <w:tcPr>
            <w:tcW w:w="1547" w:type="dxa"/>
          </w:tcPr>
          <w:p w14:paraId="07D490FA">
            <w:pPr>
              <w:pStyle w:val="46"/>
              <w:rPr>
                <w:rFonts w:hAnsi="Times New Roman" w:eastAsia="宋体"/>
                <w:sz w:val="21"/>
                <w:szCs w:val="21"/>
              </w:rPr>
            </w:pPr>
            <w:r>
              <w:rPr>
                <w:rFonts w:hAnsi="Times New Roman" w:eastAsia="宋体"/>
                <w:sz w:val="21"/>
                <w:szCs w:val="21"/>
              </w:rPr>
              <w:t>60-09-3</w:t>
            </w:r>
          </w:p>
        </w:tc>
      </w:tr>
      <w:tr w14:paraId="3401B4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0" w:hRule="atLeast"/>
          <w:jc w:val="center"/>
        </w:trPr>
        <w:tc>
          <w:tcPr>
            <w:tcW w:w="983" w:type="dxa"/>
          </w:tcPr>
          <w:p w14:paraId="735DC04B">
            <w:pPr>
              <w:pStyle w:val="46"/>
              <w:rPr>
                <w:rFonts w:hAnsi="Times New Roman" w:eastAsia="宋体"/>
                <w:sz w:val="21"/>
                <w:szCs w:val="21"/>
              </w:rPr>
            </w:pPr>
            <w:r>
              <w:rPr>
                <w:rFonts w:hAnsi="Times New Roman" w:eastAsia="宋体"/>
                <w:sz w:val="21"/>
                <w:szCs w:val="21"/>
              </w:rPr>
              <w:t>23</w:t>
            </w:r>
          </w:p>
        </w:tc>
        <w:tc>
          <w:tcPr>
            <w:tcW w:w="6804" w:type="dxa"/>
          </w:tcPr>
          <w:p w14:paraId="6EA704A4">
            <w:pPr>
              <w:pStyle w:val="46"/>
              <w:jc w:val="left"/>
              <w:rPr>
                <w:rFonts w:hAnsi="Times New Roman" w:eastAsia="宋体"/>
                <w:sz w:val="21"/>
                <w:szCs w:val="21"/>
              </w:rPr>
            </w:pPr>
            <w:r>
              <w:rPr>
                <w:rFonts w:hAnsi="Times New Roman" w:eastAsia="宋体"/>
                <w:sz w:val="21"/>
                <w:szCs w:val="21"/>
              </w:rPr>
              <w:t>2,4-二甲基苯胺（2,4-xylidine）</w:t>
            </w:r>
          </w:p>
        </w:tc>
        <w:tc>
          <w:tcPr>
            <w:tcW w:w="1547" w:type="dxa"/>
          </w:tcPr>
          <w:p w14:paraId="1869F5A7">
            <w:pPr>
              <w:pStyle w:val="46"/>
              <w:rPr>
                <w:rFonts w:hAnsi="Times New Roman" w:eastAsia="宋体"/>
                <w:sz w:val="21"/>
                <w:szCs w:val="21"/>
              </w:rPr>
            </w:pPr>
            <w:r>
              <w:rPr>
                <w:rFonts w:hAnsi="Times New Roman" w:eastAsia="宋体"/>
                <w:sz w:val="21"/>
                <w:szCs w:val="21"/>
              </w:rPr>
              <w:t>95-68-1</w:t>
            </w:r>
          </w:p>
        </w:tc>
      </w:tr>
      <w:tr w14:paraId="7D21A1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83" w:type="dxa"/>
            <w:tcBorders>
              <w:bottom w:val="single" w:color="auto" w:sz="8" w:space="0"/>
            </w:tcBorders>
          </w:tcPr>
          <w:p w14:paraId="407E173C">
            <w:pPr>
              <w:pStyle w:val="46"/>
              <w:rPr>
                <w:rFonts w:hAnsi="Times New Roman" w:eastAsia="宋体"/>
                <w:sz w:val="21"/>
                <w:szCs w:val="21"/>
              </w:rPr>
            </w:pPr>
            <w:r>
              <w:rPr>
                <w:rFonts w:hAnsi="Times New Roman" w:eastAsia="宋体"/>
                <w:sz w:val="21"/>
                <w:szCs w:val="21"/>
              </w:rPr>
              <w:t>24</w:t>
            </w:r>
          </w:p>
        </w:tc>
        <w:tc>
          <w:tcPr>
            <w:tcW w:w="6804" w:type="dxa"/>
            <w:tcBorders>
              <w:bottom w:val="single" w:color="auto" w:sz="8" w:space="0"/>
            </w:tcBorders>
          </w:tcPr>
          <w:p w14:paraId="404E3B54">
            <w:pPr>
              <w:pStyle w:val="46"/>
              <w:jc w:val="left"/>
              <w:rPr>
                <w:rFonts w:hAnsi="Times New Roman" w:eastAsia="宋体"/>
                <w:sz w:val="21"/>
                <w:szCs w:val="21"/>
              </w:rPr>
            </w:pPr>
            <w:r>
              <w:rPr>
                <w:rFonts w:hAnsi="Times New Roman" w:eastAsia="宋体"/>
                <w:sz w:val="21"/>
                <w:szCs w:val="21"/>
              </w:rPr>
              <w:t>2,6-二甲基苯胺（2,6-xylidine）</w:t>
            </w:r>
          </w:p>
        </w:tc>
        <w:tc>
          <w:tcPr>
            <w:tcW w:w="1547" w:type="dxa"/>
            <w:tcBorders>
              <w:bottom w:val="single" w:color="auto" w:sz="8" w:space="0"/>
            </w:tcBorders>
          </w:tcPr>
          <w:p w14:paraId="1446D9E3">
            <w:pPr>
              <w:pStyle w:val="46"/>
              <w:rPr>
                <w:rFonts w:hAnsi="Times New Roman" w:eastAsia="宋体"/>
                <w:sz w:val="21"/>
                <w:szCs w:val="21"/>
              </w:rPr>
            </w:pPr>
            <w:r>
              <w:rPr>
                <w:rFonts w:hAnsi="Times New Roman" w:eastAsia="宋体"/>
                <w:sz w:val="21"/>
                <w:szCs w:val="21"/>
              </w:rPr>
              <w:t>87-62-7</w:t>
            </w:r>
          </w:p>
        </w:tc>
      </w:tr>
      <w:tr w14:paraId="6F10DB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34" w:type="dxa"/>
            <w:gridSpan w:val="3"/>
            <w:tcBorders>
              <w:top w:val="single" w:color="auto" w:sz="8" w:space="0"/>
              <w:bottom w:val="single" w:color="auto" w:sz="8" w:space="0"/>
            </w:tcBorders>
          </w:tcPr>
          <w:p w14:paraId="0E30E84F">
            <w:pPr>
              <w:pStyle w:val="48"/>
              <w:numPr>
                <w:ilvl w:val="0"/>
                <w:numId w:val="8"/>
              </w:numPr>
              <w:rPr>
                <w:rFonts w:ascii="Times New Roman" w:hAnsi="Times New Roman" w:eastAsia="宋体"/>
                <w:sz w:val="21"/>
              </w:rPr>
            </w:pPr>
            <w:r>
              <w:rPr>
                <w:rFonts w:ascii="Times New Roman" w:hAnsi="Times New Roman" w:eastAsia="宋体"/>
                <w:sz w:val="21"/>
              </w:rPr>
              <w:t>经本方法检测，邻氨基偶氮甲苯（序号5）和2-氨基-4-硝基甲苯（序号6）进一步分解为邻甲苯胺（序号18）和2,4-二氨基甲苯（序号19）。</w:t>
            </w:r>
          </w:p>
          <w:p w14:paraId="054CD194">
            <w:pPr>
              <w:pStyle w:val="48"/>
              <w:rPr>
                <w:rFonts w:ascii="Times New Roman" w:hAnsi="Times New Roman" w:eastAsia="宋体"/>
                <w:sz w:val="21"/>
              </w:rPr>
            </w:pPr>
            <w:r>
              <w:rPr>
                <w:rFonts w:ascii="Times New Roman" w:hAnsi="Times New Roman" w:eastAsia="宋体"/>
                <w:sz w:val="21"/>
              </w:rPr>
              <w:t>4-氨基偶氮苯（序号22）经本方法检测科分解为苯胺和/或1,4-苯二胺。</w:t>
            </w:r>
          </w:p>
        </w:tc>
      </w:tr>
    </w:tbl>
    <w:p w14:paraId="5F6FD37D">
      <w:pPr>
        <w:pStyle w:val="32"/>
        <w:ind w:firstLine="420"/>
        <w:rPr>
          <w:rFonts w:ascii="Times New Roman"/>
          <w:szCs w:val="21"/>
        </w:rPr>
      </w:pPr>
    </w:p>
    <w:p w14:paraId="6219B666">
      <w:pPr>
        <w:pStyle w:val="32"/>
        <w:spacing w:line="360" w:lineRule="auto"/>
        <w:ind w:firstLine="420"/>
        <w:rPr>
          <w:rFonts w:ascii="Times New Roman"/>
          <w:szCs w:val="21"/>
        </w:rPr>
      </w:pPr>
      <w:r>
        <w:rPr>
          <w:rFonts w:ascii="Times New Roman"/>
          <w:szCs w:val="21"/>
        </w:rPr>
        <w:t>分别使用</w:t>
      </w:r>
      <w:r>
        <w:rPr>
          <w:rFonts w:ascii="Times New Roman"/>
          <w:kern w:val="21"/>
          <w:szCs w:val="21"/>
        </w:rPr>
        <w:t>气相色谱仪-质谱联用</w:t>
      </w:r>
      <w:r>
        <w:rPr>
          <w:rFonts w:ascii="Times New Roman"/>
          <w:szCs w:val="21"/>
        </w:rPr>
        <w:t>仪、高效液相色谱仪对标准工作溶液及样品溶液进行测定。</w:t>
      </w:r>
    </w:p>
    <w:p w14:paraId="23F97F32">
      <w:pPr>
        <w:pStyle w:val="32"/>
        <w:spacing w:line="360" w:lineRule="auto"/>
        <w:ind w:firstLine="420"/>
        <w:rPr>
          <w:rFonts w:ascii="Times New Roman"/>
          <w:szCs w:val="21"/>
        </w:rPr>
      </w:pPr>
      <w:r>
        <w:rPr>
          <w:rFonts w:ascii="Times New Roman"/>
          <w:szCs w:val="21"/>
        </w:rPr>
        <w:t>回收率的测定：取芳香胺标准储备溶液（含每种芳香胺30μg的体积），加入装有15 mL已预热的柠檬酸盐-氢氧化钠缓冲溶液的反应器中。然后按处理试样的操作步骤进行分析。</w:t>
      </w:r>
    </w:p>
    <w:p w14:paraId="7CDA7CAD">
      <w:pPr>
        <w:pStyle w:val="32"/>
        <w:spacing w:line="360" w:lineRule="auto"/>
        <w:ind w:firstLine="420"/>
        <w:rPr>
          <w:rFonts w:ascii="Times New Roman"/>
          <w:szCs w:val="21"/>
        </w:rPr>
      </w:pPr>
      <w:r>
        <w:rPr>
          <w:rFonts w:hint="eastAsia" w:ascii="Times New Roman"/>
          <w:szCs w:val="21"/>
        </w:rPr>
        <w:t>精密度的测定：取加标回收样品溶液，重复进样6次，计算6次测定结果的相对标准偏差（RSD）。</w:t>
      </w:r>
    </w:p>
    <w:p w14:paraId="3CF42B03">
      <w:pPr>
        <w:pStyle w:val="40"/>
        <w:numPr>
          <w:ilvl w:val="1"/>
          <w:numId w:val="7"/>
        </w:numPr>
        <w:spacing w:before="156" w:after="156" w:line="360" w:lineRule="auto"/>
        <w:rPr>
          <w:rFonts w:ascii="Times New Roman" w:eastAsia="宋体"/>
          <w:szCs w:val="21"/>
        </w:rPr>
      </w:pPr>
      <w:r>
        <w:rPr>
          <w:rFonts w:ascii="Times New Roman" w:eastAsia="宋体"/>
          <w:szCs w:val="21"/>
        </w:rPr>
        <w:t>气相色谱仪-质谱联用法(GC-MS)</w:t>
      </w:r>
    </w:p>
    <w:p w14:paraId="36FDF237">
      <w:pPr>
        <w:pStyle w:val="32"/>
        <w:spacing w:line="360" w:lineRule="auto"/>
        <w:ind w:firstLine="420"/>
        <w:rPr>
          <w:rFonts w:ascii="Times New Roman"/>
          <w:szCs w:val="21"/>
        </w:rPr>
      </w:pPr>
      <w:r>
        <w:rPr>
          <w:rFonts w:ascii="Times New Roman"/>
          <w:szCs w:val="21"/>
        </w:rPr>
        <w:t>仪器条件：</w:t>
      </w:r>
    </w:p>
    <w:p w14:paraId="63C85FEF">
      <w:pPr>
        <w:pStyle w:val="32"/>
        <w:spacing w:line="360" w:lineRule="auto"/>
        <w:ind w:firstLine="420"/>
        <w:rPr>
          <w:rFonts w:ascii="Times New Roman"/>
          <w:szCs w:val="21"/>
        </w:rPr>
      </w:pPr>
      <w:r>
        <w:rPr>
          <w:rFonts w:ascii="Times New Roman"/>
          <w:szCs w:val="21"/>
        </w:rPr>
        <w:t>色谱柱：TG-5MS（35m×0.25mm×0.25μm）；</w:t>
      </w:r>
    </w:p>
    <w:p w14:paraId="19154BF0">
      <w:pPr>
        <w:pStyle w:val="32"/>
        <w:spacing w:line="360" w:lineRule="auto"/>
        <w:ind w:firstLine="420"/>
        <w:rPr>
          <w:rFonts w:ascii="Times New Roman"/>
          <w:szCs w:val="21"/>
        </w:rPr>
      </w:pPr>
      <w:r>
        <w:rPr>
          <w:rFonts w:ascii="Times New Roman"/>
          <w:szCs w:val="21"/>
        </w:rPr>
        <w:t>进样系统：不分流；</w:t>
      </w:r>
    </w:p>
    <w:p w14:paraId="610EF02E">
      <w:pPr>
        <w:pStyle w:val="32"/>
        <w:spacing w:line="360" w:lineRule="auto"/>
        <w:ind w:firstLine="420"/>
        <w:rPr>
          <w:rFonts w:ascii="Times New Roman"/>
          <w:szCs w:val="21"/>
        </w:rPr>
      </w:pPr>
      <w:r>
        <w:rPr>
          <w:rFonts w:ascii="Times New Roman"/>
          <w:szCs w:val="21"/>
        </w:rPr>
        <w:t>进样口温度：260℃；</w:t>
      </w:r>
    </w:p>
    <w:p w14:paraId="1521052E">
      <w:pPr>
        <w:pStyle w:val="32"/>
        <w:spacing w:line="360" w:lineRule="auto"/>
        <w:ind w:firstLine="420"/>
        <w:rPr>
          <w:rFonts w:ascii="Times New Roman"/>
          <w:szCs w:val="21"/>
        </w:rPr>
      </w:pPr>
      <w:r>
        <w:rPr>
          <w:rFonts w:ascii="Times New Roman"/>
          <w:szCs w:val="21"/>
        </w:rPr>
        <w:t>载气：氦气；</w:t>
      </w:r>
    </w:p>
    <w:p w14:paraId="2ED081D7">
      <w:pPr>
        <w:pStyle w:val="32"/>
        <w:spacing w:line="360" w:lineRule="auto"/>
        <w:ind w:firstLine="420"/>
        <w:rPr>
          <w:rFonts w:ascii="Times New Roman"/>
          <w:szCs w:val="21"/>
        </w:rPr>
      </w:pPr>
      <w:r>
        <w:rPr>
          <w:rFonts w:ascii="Times New Roman"/>
          <w:szCs w:val="21"/>
        </w:rPr>
        <w:t>升温程序：60℃保持2min，以5℃/min的速率升温至170℃,保持8min;以15℃/min的速率升温至210℃,保持2min;以8℃/min的速率升温至280℃,保持3min;以6℃/min的速率升温至310℃,保持2 min；</w:t>
      </w:r>
    </w:p>
    <w:p w14:paraId="1011DD90">
      <w:pPr>
        <w:pStyle w:val="32"/>
        <w:spacing w:line="360" w:lineRule="auto"/>
        <w:ind w:firstLine="420"/>
        <w:rPr>
          <w:rFonts w:ascii="Times New Roman"/>
          <w:szCs w:val="21"/>
        </w:rPr>
      </w:pPr>
      <w:r>
        <w:rPr>
          <w:rFonts w:ascii="Times New Roman"/>
          <w:szCs w:val="21"/>
        </w:rPr>
        <w:t>进样量：1.0μL；</w:t>
      </w:r>
    </w:p>
    <w:p w14:paraId="186DA998">
      <w:pPr>
        <w:pStyle w:val="32"/>
        <w:spacing w:line="360" w:lineRule="auto"/>
        <w:ind w:firstLine="420"/>
        <w:rPr>
          <w:rFonts w:ascii="Times New Roman"/>
          <w:szCs w:val="21"/>
        </w:rPr>
      </w:pPr>
      <w:r>
        <w:rPr>
          <w:rFonts w:ascii="Times New Roman"/>
          <w:szCs w:val="21"/>
        </w:rPr>
        <w:t>质谱接口温度：280℃；</w:t>
      </w:r>
    </w:p>
    <w:p w14:paraId="420FDC3F">
      <w:pPr>
        <w:pStyle w:val="32"/>
        <w:spacing w:line="360" w:lineRule="auto"/>
        <w:ind w:firstLine="420"/>
        <w:rPr>
          <w:rFonts w:ascii="Times New Roman"/>
          <w:szCs w:val="21"/>
        </w:rPr>
      </w:pPr>
      <w:r>
        <w:rPr>
          <w:rFonts w:ascii="Times New Roman"/>
          <w:szCs w:val="21"/>
        </w:rPr>
        <w:t>离子源温度：300℃；</w:t>
      </w:r>
    </w:p>
    <w:p w14:paraId="75814748">
      <w:pPr>
        <w:pStyle w:val="32"/>
        <w:spacing w:line="360" w:lineRule="auto"/>
        <w:ind w:firstLine="420"/>
        <w:rPr>
          <w:rFonts w:ascii="Times New Roman"/>
          <w:szCs w:val="21"/>
        </w:rPr>
      </w:pPr>
      <w:r>
        <w:rPr>
          <w:rFonts w:ascii="Times New Roman"/>
          <w:szCs w:val="21"/>
        </w:rPr>
        <w:t>电离方式：EI；</w:t>
      </w:r>
    </w:p>
    <w:p w14:paraId="7B9892A8">
      <w:pPr>
        <w:pStyle w:val="32"/>
        <w:spacing w:line="360" w:lineRule="auto"/>
        <w:ind w:firstLine="420"/>
        <w:rPr>
          <w:rFonts w:ascii="Times New Roman"/>
          <w:szCs w:val="21"/>
        </w:rPr>
      </w:pPr>
      <w:r>
        <w:rPr>
          <w:rFonts w:ascii="Times New Roman"/>
          <w:szCs w:val="21"/>
        </w:rPr>
        <w:t>电离能量：70 eV。</w:t>
      </w:r>
    </w:p>
    <w:p w14:paraId="5B2DECBC">
      <w:pPr>
        <w:pStyle w:val="40"/>
        <w:numPr>
          <w:ilvl w:val="1"/>
          <w:numId w:val="7"/>
        </w:numPr>
        <w:spacing w:before="156" w:after="156" w:line="360" w:lineRule="auto"/>
        <w:rPr>
          <w:rFonts w:ascii="Times New Roman" w:eastAsia="宋体"/>
          <w:szCs w:val="21"/>
        </w:rPr>
      </w:pPr>
      <w:r>
        <w:rPr>
          <w:rFonts w:ascii="Times New Roman" w:eastAsia="宋体"/>
          <w:szCs w:val="21"/>
        </w:rPr>
        <w:t>高效液相色谱法</w:t>
      </w:r>
    </w:p>
    <w:p w14:paraId="060325DC">
      <w:pPr>
        <w:pStyle w:val="32"/>
        <w:spacing w:line="360" w:lineRule="auto"/>
        <w:ind w:firstLine="420"/>
        <w:rPr>
          <w:rFonts w:ascii="Times New Roman"/>
          <w:szCs w:val="21"/>
        </w:rPr>
      </w:pPr>
      <w:r>
        <w:rPr>
          <w:rFonts w:ascii="Times New Roman"/>
          <w:szCs w:val="21"/>
        </w:rPr>
        <w:t>推荐仪器条件：</w:t>
      </w:r>
    </w:p>
    <w:p w14:paraId="41D01970">
      <w:pPr>
        <w:pStyle w:val="32"/>
        <w:spacing w:line="360" w:lineRule="auto"/>
        <w:ind w:firstLine="420"/>
        <w:rPr>
          <w:rFonts w:ascii="Times New Roman"/>
          <w:szCs w:val="21"/>
        </w:rPr>
      </w:pPr>
      <w:r>
        <w:rPr>
          <w:rFonts w:ascii="Times New Roman"/>
          <w:szCs w:val="21"/>
        </w:rPr>
        <w:t>流动相A:甲醇；</w:t>
      </w:r>
    </w:p>
    <w:p w14:paraId="676CBBD5">
      <w:pPr>
        <w:pStyle w:val="32"/>
        <w:spacing w:line="360" w:lineRule="auto"/>
        <w:ind w:firstLine="420"/>
        <w:rPr>
          <w:rFonts w:ascii="Times New Roman"/>
          <w:szCs w:val="21"/>
        </w:rPr>
      </w:pPr>
      <w:r>
        <w:rPr>
          <w:rFonts w:ascii="Times New Roman"/>
          <w:szCs w:val="21"/>
        </w:rPr>
        <w:t>流动相B: 0.68 g 磷酸二氢钾溶于1000mL水中，然后加入150 mL甲醇 ；</w:t>
      </w:r>
    </w:p>
    <w:p w14:paraId="516ED051">
      <w:pPr>
        <w:pStyle w:val="32"/>
        <w:spacing w:line="360" w:lineRule="auto"/>
        <w:ind w:firstLine="420"/>
        <w:rPr>
          <w:rFonts w:ascii="Times New Roman"/>
          <w:szCs w:val="21"/>
        </w:rPr>
      </w:pPr>
      <w:r>
        <w:rPr>
          <w:rFonts w:ascii="Times New Roman"/>
          <w:szCs w:val="21"/>
        </w:rPr>
        <w:t>色谱柱： Eclipse  XDB  C18(5μm)，150 mm×4.6mm；</w:t>
      </w:r>
    </w:p>
    <w:p w14:paraId="233A8985">
      <w:pPr>
        <w:pStyle w:val="32"/>
        <w:spacing w:line="360" w:lineRule="auto"/>
        <w:ind w:firstLine="420"/>
        <w:rPr>
          <w:rFonts w:ascii="Times New Roman"/>
          <w:szCs w:val="21"/>
        </w:rPr>
      </w:pPr>
      <w:r>
        <w:rPr>
          <w:rFonts w:ascii="Times New Roman"/>
          <w:szCs w:val="21"/>
        </w:rPr>
        <w:t>流速：1 mL/min (流量梯度，见表</w:t>
      </w:r>
      <w:r>
        <w:rPr>
          <w:rFonts w:hint="eastAsia" w:ascii="Times New Roman"/>
          <w:szCs w:val="21"/>
        </w:rPr>
        <w:t>2</w:t>
      </w:r>
      <w:r>
        <w:rPr>
          <w:rFonts w:ascii="Times New Roman"/>
          <w:szCs w:val="21"/>
        </w:rPr>
        <w:t>) ；</w:t>
      </w:r>
    </w:p>
    <w:p w14:paraId="17BA81D8">
      <w:pPr>
        <w:pStyle w:val="32"/>
        <w:spacing w:line="360" w:lineRule="auto"/>
        <w:ind w:firstLine="420"/>
        <w:rPr>
          <w:rFonts w:ascii="Times New Roman"/>
          <w:szCs w:val="21"/>
        </w:rPr>
      </w:pPr>
      <w:r>
        <w:rPr>
          <w:rFonts w:ascii="Times New Roman"/>
          <w:szCs w:val="21"/>
        </w:rPr>
        <w:t>柱温：32℃；</w:t>
      </w:r>
    </w:p>
    <w:p w14:paraId="6913FCBB">
      <w:pPr>
        <w:pStyle w:val="32"/>
        <w:spacing w:line="360" w:lineRule="auto"/>
        <w:ind w:firstLine="420"/>
        <w:rPr>
          <w:rFonts w:ascii="Times New Roman"/>
          <w:szCs w:val="21"/>
        </w:rPr>
      </w:pPr>
      <w:r>
        <w:rPr>
          <w:rFonts w:ascii="Times New Roman"/>
          <w:szCs w:val="21"/>
        </w:rPr>
        <w:t>进样量：5μL；</w:t>
      </w:r>
    </w:p>
    <w:p w14:paraId="3ED373CA">
      <w:pPr>
        <w:pStyle w:val="32"/>
        <w:spacing w:line="360" w:lineRule="auto"/>
        <w:ind w:firstLine="420"/>
        <w:rPr>
          <w:rFonts w:ascii="Times New Roman"/>
          <w:szCs w:val="21"/>
        </w:rPr>
      </w:pPr>
      <w:r>
        <w:rPr>
          <w:rFonts w:ascii="Times New Roman"/>
          <w:szCs w:val="21"/>
        </w:rPr>
        <w:t>检测器：PDA；</w:t>
      </w:r>
    </w:p>
    <w:p w14:paraId="1E8D9BA3">
      <w:pPr>
        <w:pStyle w:val="32"/>
        <w:spacing w:line="360" w:lineRule="auto"/>
        <w:ind w:firstLine="420"/>
        <w:rPr>
          <w:rFonts w:ascii="Times New Roman"/>
          <w:szCs w:val="21"/>
        </w:rPr>
      </w:pPr>
      <w:r>
        <w:rPr>
          <w:rFonts w:ascii="Times New Roman"/>
          <w:szCs w:val="21"/>
        </w:rPr>
        <w:t>检测波长：240 nm 、280 nm 、305 nm 和380 nm。</w:t>
      </w:r>
    </w:p>
    <w:p w14:paraId="3BB341DD">
      <w:pPr>
        <w:pStyle w:val="32"/>
        <w:ind w:firstLine="420"/>
        <w:rPr>
          <w:rFonts w:ascii="Times New Roman"/>
          <w:szCs w:val="21"/>
        </w:rPr>
      </w:pPr>
    </w:p>
    <w:p w14:paraId="00F6F955">
      <w:pPr>
        <w:pStyle w:val="32"/>
        <w:ind w:firstLine="420"/>
        <w:jc w:val="center"/>
        <w:rPr>
          <w:rFonts w:ascii="Times New Roman"/>
          <w:szCs w:val="21"/>
        </w:rPr>
      </w:pPr>
      <w:r>
        <w:rPr>
          <w:rFonts w:ascii="Times New Roman"/>
          <w:szCs w:val="21"/>
        </w:rPr>
        <w:t>表</w:t>
      </w:r>
      <w:r>
        <w:rPr>
          <w:rFonts w:hint="eastAsia" w:ascii="Times New Roman"/>
          <w:szCs w:val="21"/>
        </w:rPr>
        <w:t>2</w:t>
      </w:r>
      <w:r>
        <w:rPr>
          <w:rFonts w:ascii="Times New Roman"/>
          <w:szCs w:val="21"/>
        </w:rPr>
        <w:t xml:space="preserve"> 流动相比例表</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780"/>
        <w:gridCol w:w="2770"/>
        <w:gridCol w:w="2776"/>
      </w:tblGrid>
      <w:tr w14:paraId="4D93BF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tcPr>
          <w:p w14:paraId="39988C2A">
            <w:pPr>
              <w:pStyle w:val="46"/>
              <w:rPr>
                <w:rFonts w:hAnsi="Times New Roman" w:eastAsia="宋体"/>
                <w:sz w:val="21"/>
                <w:szCs w:val="21"/>
              </w:rPr>
            </w:pPr>
            <w:r>
              <w:rPr>
                <w:rFonts w:hAnsi="Times New Roman" w:eastAsia="宋体"/>
                <w:sz w:val="21"/>
                <w:szCs w:val="21"/>
              </w:rPr>
              <w:t>时间/m</w:t>
            </w:r>
          </w:p>
        </w:tc>
        <w:tc>
          <w:tcPr>
            <w:tcW w:w="3112" w:type="dxa"/>
            <w:tcBorders>
              <w:top w:val="single" w:color="auto" w:sz="8" w:space="0"/>
              <w:bottom w:val="single" w:color="auto" w:sz="8" w:space="0"/>
            </w:tcBorders>
          </w:tcPr>
          <w:p w14:paraId="2C45F9D5">
            <w:pPr>
              <w:pStyle w:val="46"/>
              <w:rPr>
                <w:rFonts w:hAnsi="Times New Roman" w:eastAsia="宋体"/>
                <w:sz w:val="21"/>
                <w:szCs w:val="21"/>
              </w:rPr>
            </w:pPr>
            <w:r>
              <w:rPr>
                <w:rFonts w:hAnsi="Times New Roman" w:eastAsia="宋体"/>
                <w:sz w:val="21"/>
                <w:szCs w:val="21"/>
              </w:rPr>
              <w:t>流动相A/%</w:t>
            </w:r>
          </w:p>
        </w:tc>
        <w:tc>
          <w:tcPr>
            <w:tcW w:w="3112" w:type="dxa"/>
            <w:tcBorders>
              <w:top w:val="single" w:color="auto" w:sz="8" w:space="0"/>
              <w:bottom w:val="single" w:color="auto" w:sz="8" w:space="0"/>
            </w:tcBorders>
          </w:tcPr>
          <w:p w14:paraId="138E1A4D">
            <w:pPr>
              <w:pStyle w:val="46"/>
              <w:rPr>
                <w:rFonts w:hAnsi="Times New Roman" w:eastAsia="宋体"/>
                <w:sz w:val="21"/>
                <w:szCs w:val="21"/>
              </w:rPr>
            </w:pPr>
            <w:r>
              <w:rPr>
                <w:rFonts w:hAnsi="Times New Roman" w:eastAsia="宋体"/>
                <w:sz w:val="21"/>
                <w:szCs w:val="21"/>
              </w:rPr>
              <w:t>流动相B/ %</w:t>
            </w:r>
          </w:p>
        </w:tc>
      </w:tr>
      <w:tr w14:paraId="3AADA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tcPr>
          <w:p w14:paraId="3817656C">
            <w:pPr>
              <w:pStyle w:val="46"/>
              <w:rPr>
                <w:rFonts w:hAnsi="Times New Roman" w:eastAsia="宋体"/>
                <w:sz w:val="21"/>
                <w:szCs w:val="21"/>
              </w:rPr>
            </w:pPr>
            <w:r>
              <w:rPr>
                <w:rFonts w:hAnsi="Times New Roman" w:eastAsia="宋体"/>
                <w:sz w:val="21"/>
                <w:szCs w:val="21"/>
              </w:rPr>
              <w:t>0.00</w:t>
            </w:r>
          </w:p>
        </w:tc>
        <w:tc>
          <w:tcPr>
            <w:tcW w:w="3112" w:type="dxa"/>
            <w:tcBorders>
              <w:top w:val="single" w:color="auto" w:sz="8" w:space="0"/>
            </w:tcBorders>
          </w:tcPr>
          <w:p w14:paraId="749AA850">
            <w:pPr>
              <w:pStyle w:val="46"/>
              <w:rPr>
                <w:rFonts w:hAnsi="Times New Roman" w:eastAsia="宋体"/>
                <w:sz w:val="21"/>
                <w:szCs w:val="21"/>
              </w:rPr>
            </w:pPr>
            <w:r>
              <w:rPr>
                <w:rFonts w:hAnsi="Times New Roman" w:eastAsia="宋体"/>
                <w:sz w:val="21"/>
                <w:szCs w:val="21"/>
              </w:rPr>
              <w:t>8.0</w:t>
            </w:r>
          </w:p>
        </w:tc>
        <w:tc>
          <w:tcPr>
            <w:tcW w:w="3112" w:type="dxa"/>
            <w:tcBorders>
              <w:top w:val="single" w:color="auto" w:sz="8" w:space="0"/>
            </w:tcBorders>
          </w:tcPr>
          <w:p w14:paraId="6C37FB39">
            <w:pPr>
              <w:pStyle w:val="46"/>
              <w:rPr>
                <w:rFonts w:hAnsi="Times New Roman" w:eastAsia="宋体"/>
                <w:sz w:val="21"/>
                <w:szCs w:val="21"/>
              </w:rPr>
            </w:pPr>
            <w:r>
              <w:rPr>
                <w:rFonts w:hAnsi="Times New Roman" w:eastAsia="宋体"/>
                <w:sz w:val="21"/>
                <w:szCs w:val="21"/>
              </w:rPr>
              <w:t>92.0</w:t>
            </w:r>
          </w:p>
        </w:tc>
      </w:tr>
      <w:tr w14:paraId="2DB4E7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Pr>
          <w:p w14:paraId="329755DD">
            <w:pPr>
              <w:pStyle w:val="46"/>
              <w:rPr>
                <w:rFonts w:hAnsi="Times New Roman" w:eastAsia="宋体"/>
                <w:sz w:val="21"/>
                <w:szCs w:val="21"/>
              </w:rPr>
            </w:pPr>
            <w:r>
              <w:rPr>
                <w:rFonts w:hAnsi="Times New Roman" w:eastAsia="宋体"/>
                <w:sz w:val="21"/>
                <w:szCs w:val="21"/>
              </w:rPr>
              <w:t>45.00</w:t>
            </w:r>
          </w:p>
        </w:tc>
        <w:tc>
          <w:tcPr>
            <w:tcW w:w="3112" w:type="dxa"/>
          </w:tcPr>
          <w:p w14:paraId="72C5C484">
            <w:pPr>
              <w:pStyle w:val="46"/>
              <w:rPr>
                <w:rFonts w:hAnsi="Times New Roman" w:eastAsia="宋体"/>
                <w:sz w:val="21"/>
                <w:szCs w:val="21"/>
              </w:rPr>
            </w:pPr>
            <w:r>
              <w:rPr>
                <w:rFonts w:hAnsi="Times New Roman" w:eastAsia="宋体"/>
                <w:sz w:val="21"/>
                <w:szCs w:val="21"/>
              </w:rPr>
              <w:t>55.0</w:t>
            </w:r>
          </w:p>
        </w:tc>
        <w:tc>
          <w:tcPr>
            <w:tcW w:w="3112" w:type="dxa"/>
          </w:tcPr>
          <w:p w14:paraId="2810F5DD">
            <w:pPr>
              <w:pStyle w:val="46"/>
              <w:rPr>
                <w:rFonts w:hAnsi="Times New Roman" w:eastAsia="宋体"/>
                <w:sz w:val="21"/>
                <w:szCs w:val="21"/>
              </w:rPr>
            </w:pPr>
            <w:r>
              <w:rPr>
                <w:rFonts w:hAnsi="Times New Roman" w:eastAsia="宋体"/>
                <w:sz w:val="21"/>
                <w:szCs w:val="21"/>
              </w:rPr>
              <w:t>45.0</w:t>
            </w:r>
          </w:p>
        </w:tc>
      </w:tr>
      <w:tr w14:paraId="3E85A9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Pr>
          <w:p w14:paraId="10143157">
            <w:pPr>
              <w:pStyle w:val="46"/>
              <w:rPr>
                <w:rFonts w:hAnsi="Times New Roman" w:eastAsia="宋体"/>
                <w:sz w:val="21"/>
                <w:szCs w:val="21"/>
              </w:rPr>
            </w:pPr>
            <w:r>
              <w:rPr>
                <w:rFonts w:hAnsi="Times New Roman" w:eastAsia="宋体"/>
                <w:sz w:val="21"/>
                <w:szCs w:val="21"/>
              </w:rPr>
              <w:t>50.00</w:t>
            </w:r>
          </w:p>
        </w:tc>
        <w:tc>
          <w:tcPr>
            <w:tcW w:w="3112" w:type="dxa"/>
          </w:tcPr>
          <w:p w14:paraId="71B5813D">
            <w:pPr>
              <w:pStyle w:val="46"/>
              <w:rPr>
                <w:rFonts w:hAnsi="Times New Roman" w:eastAsia="宋体"/>
                <w:sz w:val="21"/>
                <w:szCs w:val="21"/>
              </w:rPr>
            </w:pPr>
            <w:r>
              <w:rPr>
                <w:rFonts w:hAnsi="Times New Roman" w:eastAsia="宋体"/>
                <w:sz w:val="21"/>
                <w:szCs w:val="21"/>
              </w:rPr>
              <w:t>95.0</w:t>
            </w:r>
          </w:p>
        </w:tc>
        <w:tc>
          <w:tcPr>
            <w:tcW w:w="3112" w:type="dxa"/>
          </w:tcPr>
          <w:p w14:paraId="5B2BE88F">
            <w:pPr>
              <w:pStyle w:val="46"/>
              <w:rPr>
                <w:rFonts w:hAnsi="Times New Roman" w:eastAsia="宋体"/>
                <w:sz w:val="21"/>
                <w:szCs w:val="21"/>
              </w:rPr>
            </w:pPr>
            <w:r>
              <w:rPr>
                <w:rFonts w:hAnsi="Times New Roman" w:eastAsia="宋体"/>
                <w:sz w:val="21"/>
                <w:szCs w:val="21"/>
              </w:rPr>
              <w:t>5.0</w:t>
            </w:r>
          </w:p>
        </w:tc>
      </w:tr>
      <w:tr w14:paraId="041702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Pr>
          <w:p w14:paraId="28BB5E16">
            <w:pPr>
              <w:pStyle w:val="46"/>
              <w:rPr>
                <w:rFonts w:hAnsi="Times New Roman" w:eastAsia="宋体"/>
                <w:sz w:val="21"/>
                <w:szCs w:val="21"/>
              </w:rPr>
            </w:pPr>
            <w:r>
              <w:rPr>
                <w:rFonts w:hAnsi="Times New Roman" w:eastAsia="宋体"/>
                <w:sz w:val="21"/>
                <w:szCs w:val="21"/>
              </w:rPr>
              <w:t>55.00</w:t>
            </w:r>
          </w:p>
        </w:tc>
        <w:tc>
          <w:tcPr>
            <w:tcW w:w="3112" w:type="dxa"/>
          </w:tcPr>
          <w:p w14:paraId="3715374D">
            <w:pPr>
              <w:pStyle w:val="46"/>
              <w:rPr>
                <w:rFonts w:hAnsi="Times New Roman" w:eastAsia="宋体"/>
                <w:sz w:val="21"/>
                <w:szCs w:val="21"/>
              </w:rPr>
            </w:pPr>
            <w:r>
              <w:rPr>
                <w:rFonts w:hAnsi="Times New Roman" w:eastAsia="宋体"/>
                <w:sz w:val="21"/>
                <w:szCs w:val="21"/>
              </w:rPr>
              <w:t>95.0</w:t>
            </w:r>
          </w:p>
        </w:tc>
        <w:tc>
          <w:tcPr>
            <w:tcW w:w="3112" w:type="dxa"/>
          </w:tcPr>
          <w:p w14:paraId="43F75F7C">
            <w:pPr>
              <w:pStyle w:val="46"/>
              <w:rPr>
                <w:rFonts w:hAnsi="Times New Roman" w:eastAsia="宋体"/>
                <w:sz w:val="21"/>
                <w:szCs w:val="21"/>
              </w:rPr>
            </w:pPr>
            <w:r>
              <w:rPr>
                <w:rFonts w:hAnsi="Times New Roman" w:eastAsia="宋体"/>
                <w:sz w:val="21"/>
                <w:szCs w:val="21"/>
              </w:rPr>
              <w:t>5.0</w:t>
            </w:r>
          </w:p>
        </w:tc>
      </w:tr>
      <w:tr w14:paraId="3FF7EC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Pr>
          <w:p w14:paraId="01B74735">
            <w:pPr>
              <w:pStyle w:val="46"/>
              <w:rPr>
                <w:rFonts w:hAnsi="Times New Roman" w:eastAsia="宋体"/>
                <w:sz w:val="21"/>
                <w:szCs w:val="21"/>
              </w:rPr>
            </w:pPr>
            <w:r>
              <w:rPr>
                <w:rFonts w:hAnsi="Times New Roman" w:eastAsia="宋体"/>
                <w:sz w:val="21"/>
                <w:szCs w:val="21"/>
              </w:rPr>
              <w:t>56.00</w:t>
            </w:r>
          </w:p>
        </w:tc>
        <w:tc>
          <w:tcPr>
            <w:tcW w:w="3112" w:type="dxa"/>
          </w:tcPr>
          <w:p w14:paraId="6F33677C">
            <w:pPr>
              <w:pStyle w:val="46"/>
              <w:rPr>
                <w:rFonts w:hAnsi="Times New Roman" w:eastAsia="宋体"/>
                <w:sz w:val="21"/>
                <w:szCs w:val="21"/>
              </w:rPr>
            </w:pPr>
            <w:r>
              <w:rPr>
                <w:rFonts w:hAnsi="Times New Roman" w:eastAsia="宋体"/>
                <w:sz w:val="21"/>
                <w:szCs w:val="21"/>
              </w:rPr>
              <w:t>8.0</w:t>
            </w:r>
          </w:p>
        </w:tc>
        <w:tc>
          <w:tcPr>
            <w:tcW w:w="3112" w:type="dxa"/>
          </w:tcPr>
          <w:p w14:paraId="2215F8D6">
            <w:pPr>
              <w:pStyle w:val="46"/>
              <w:rPr>
                <w:rFonts w:hAnsi="Times New Roman" w:eastAsia="宋体"/>
                <w:sz w:val="21"/>
                <w:szCs w:val="21"/>
              </w:rPr>
            </w:pPr>
            <w:r>
              <w:rPr>
                <w:rFonts w:hAnsi="Times New Roman" w:eastAsia="宋体"/>
                <w:sz w:val="21"/>
                <w:szCs w:val="21"/>
              </w:rPr>
              <w:t>92.0</w:t>
            </w:r>
          </w:p>
        </w:tc>
      </w:tr>
      <w:tr w14:paraId="79606E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Pr>
          <w:p w14:paraId="2544641E">
            <w:pPr>
              <w:pStyle w:val="46"/>
              <w:rPr>
                <w:rFonts w:hAnsi="Times New Roman" w:eastAsia="宋体"/>
                <w:sz w:val="21"/>
                <w:szCs w:val="21"/>
              </w:rPr>
            </w:pPr>
            <w:r>
              <w:rPr>
                <w:rFonts w:hAnsi="Times New Roman" w:eastAsia="宋体"/>
                <w:sz w:val="21"/>
                <w:szCs w:val="21"/>
              </w:rPr>
              <w:t>60.00</w:t>
            </w:r>
          </w:p>
        </w:tc>
        <w:tc>
          <w:tcPr>
            <w:tcW w:w="3112" w:type="dxa"/>
          </w:tcPr>
          <w:p w14:paraId="4BC19F1A">
            <w:pPr>
              <w:pStyle w:val="46"/>
              <w:rPr>
                <w:rFonts w:hAnsi="Times New Roman" w:eastAsia="宋体"/>
                <w:sz w:val="21"/>
                <w:szCs w:val="21"/>
              </w:rPr>
            </w:pPr>
            <w:r>
              <w:rPr>
                <w:rFonts w:hAnsi="Times New Roman" w:eastAsia="宋体"/>
                <w:sz w:val="21"/>
                <w:szCs w:val="21"/>
              </w:rPr>
              <w:t>8.0</w:t>
            </w:r>
          </w:p>
        </w:tc>
        <w:tc>
          <w:tcPr>
            <w:tcW w:w="3112" w:type="dxa"/>
          </w:tcPr>
          <w:p w14:paraId="5E0177DE">
            <w:pPr>
              <w:pStyle w:val="46"/>
              <w:rPr>
                <w:rFonts w:hAnsi="Times New Roman" w:eastAsia="宋体"/>
                <w:sz w:val="21"/>
                <w:szCs w:val="21"/>
              </w:rPr>
            </w:pPr>
            <w:r>
              <w:rPr>
                <w:rFonts w:hAnsi="Times New Roman" w:eastAsia="宋体"/>
                <w:sz w:val="21"/>
                <w:szCs w:val="21"/>
              </w:rPr>
              <w:t>92.0</w:t>
            </w:r>
          </w:p>
        </w:tc>
      </w:tr>
    </w:tbl>
    <w:p w14:paraId="155D06CA">
      <w:pPr>
        <w:pStyle w:val="22"/>
        <w:widowControl/>
        <w:ind w:left="440" w:firstLine="0" w:firstLineChars="0"/>
        <w:jc w:val="left"/>
        <w:rPr>
          <w:b/>
          <w:bCs/>
          <w:szCs w:val="21"/>
        </w:rPr>
      </w:pPr>
    </w:p>
    <w:p w14:paraId="49992E1C">
      <w:pPr>
        <w:pStyle w:val="22"/>
        <w:widowControl/>
        <w:numPr>
          <w:ilvl w:val="0"/>
          <w:numId w:val="9"/>
        </w:numPr>
        <w:ind w:firstLineChars="0"/>
        <w:jc w:val="left"/>
        <w:rPr>
          <w:vanish/>
          <w:szCs w:val="21"/>
        </w:rPr>
      </w:pPr>
    </w:p>
    <w:p w14:paraId="283C560B">
      <w:pPr>
        <w:pStyle w:val="22"/>
        <w:widowControl/>
        <w:numPr>
          <w:ilvl w:val="0"/>
          <w:numId w:val="9"/>
        </w:numPr>
        <w:ind w:firstLineChars="0"/>
        <w:jc w:val="left"/>
        <w:rPr>
          <w:vanish/>
          <w:szCs w:val="21"/>
        </w:rPr>
      </w:pPr>
    </w:p>
    <w:p w14:paraId="7E473A07">
      <w:pPr>
        <w:pStyle w:val="22"/>
        <w:numPr>
          <w:ilvl w:val="0"/>
          <w:numId w:val="9"/>
        </w:numPr>
        <w:spacing w:line="360" w:lineRule="auto"/>
        <w:ind w:firstLineChars="0"/>
        <w:rPr>
          <w:b/>
          <w:bCs/>
          <w:szCs w:val="21"/>
        </w:rPr>
      </w:pPr>
      <w:r>
        <w:rPr>
          <w:b/>
          <w:bCs/>
          <w:szCs w:val="21"/>
        </w:rPr>
        <w:t>试验结果</w:t>
      </w:r>
    </w:p>
    <w:p w14:paraId="5FABE949">
      <w:pPr>
        <w:spacing w:line="360" w:lineRule="auto"/>
        <w:ind w:firstLine="420" w:firstLineChars="200"/>
        <w:rPr>
          <w:szCs w:val="21"/>
        </w:rPr>
      </w:pPr>
      <w:r>
        <w:rPr>
          <w:szCs w:val="21"/>
        </w:rPr>
        <w:t>GC-MS法与HPLC法测定8种染色复合肥料中禁用偶氮染料，测定结果均为未检出。</w:t>
      </w:r>
      <w:r>
        <w:rPr>
          <w:rFonts w:hint="eastAsia"/>
          <w:szCs w:val="21"/>
        </w:rPr>
        <w:t>方法的加标回收率符合要求：序号1~4、7、9~17、20和21的芳香胺回收率应不低于70%；序号8的芳香胺回收率应不低于20%；序号18、19、23和24的芳香胺回收率应不低于50%；苯胺的回收率应不低于70%。</w:t>
      </w:r>
    </w:p>
    <w:p w14:paraId="28322AAD">
      <w:pPr>
        <w:pStyle w:val="40"/>
        <w:numPr>
          <w:ilvl w:val="1"/>
          <w:numId w:val="9"/>
        </w:numPr>
        <w:spacing w:before="156" w:after="156" w:line="360" w:lineRule="auto"/>
        <w:rPr>
          <w:rFonts w:ascii="Times New Roman" w:eastAsia="宋体"/>
          <w:szCs w:val="21"/>
        </w:rPr>
      </w:pPr>
      <w:r>
        <w:rPr>
          <w:rFonts w:ascii="Times New Roman" w:eastAsia="宋体"/>
          <w:szCs w:val="21"/>
        </w:rPr>
        <w:t>气相色谱仪-质谱联用法(GC-MS)</w:t>
      </w:r>
    </w:p>
    <w:p w14:paraId="295CE654">
      <w:pPr>
        <w:widowControl/>
        <w:spacing w:line="360" w:lineRule="auto"/>
        <w:ind w:firstLine="420"/>
        <w:jc w:val="left"/>
        <w:rPr>
          <w:szCs w:val="21"/>
        </w:rPr>
      </w:pPr>
      <w:r>
        <w:rPr>
          <w:szCs w:val="21"/>
        </w:rPr>
        <w:t>该方法各芳香胺标准曲线的决定系数（R</w:t>
      </w:r>
      <w:r>
        <w:rPr>
          <w:szCs w:val="21"/>
          <w:vertAlign w:val="superscript"/>
        </w:rPr>
        <w:t>2</w:t>
      </w:r>
      <w:r>
        <w:rPr>
          <w:szCs w:val="21"/>
        </w:rPr>
        <w:t>）、方法精密度</w:t>
      </w:r>
      <w:r>
        <w:rPr>
          <w:rFonts w:hint="eastAsia"/>
          <w:szCs w:val="21"/>
        </w:rPr>
        <w:t>（RSD）</w:t>
      </w:r>
      <w:r>
        <w:rPr>
          <w:szCs w:val="21"/>
        </w:rPr>
        <w:t>及回收率见下表：</w:t>
      </w:r>
    </w:p>
    <w:p w14:paraId="14F3B3B1">
      <w:pPr>
        <w:widowControl/>
        <w:spacing w:line="360" w:lineRule="auto"/>
        <w:ind w:firstLine="420"/>
        <w:jc w:val="center"/>
        <w:rPr>
          <w:szCs w:val="21"/>
        </w:rPr>
      </w:pPr>
      <w:r>
        <w:rPr>
          <w:rFonts w:hint="eastAsia"/>
          <w:szCs w:val="21"/>
        </w:rPr>
        <w:t>表3 GC-MS法测定结果</w:t>
      </w:r>
    </w:p>
    <w:tbl>
      <w:tblPr>
        <w:tblStyle w:val="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3480"/>
        <w:gridCol w:w="1160"/>
        <w:gridCol w:w="1301"/>
        <w:gridCol w:w="1430"/>
      </w:tblGrid>
      <w:tr w14:paraId="38EC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676B86DB">
            <w:pPr>
              <w:widowControl/>
              <w:jc w:val="center"/>
              <w:rPr>
                <w:color w:val="000000"/>
                <w:kern w:val="0"/>
                <w:szCs w:val="21"/>
              </w:rPr>
            </w:pPr>
            <w:r>
              <w:rPr>
                <w:rFonts w:hint="eastAsia"/>
                <w:color w:val="000000"/>
                <w:kern w:val="0"/>
                <w:szCs w:val="21"/>
              </w:rPr>
              <w:t>序号</w:t>
            </w:r>
          </w:p>
        </w:tc>
        <w:tc>
          <w:tcPr>
            <w:tcW w:w="3480" w:type="dxa"/>
            <w:noWrap/>
            <w:vAlign w:val="bottom"/>
          </w:tcPr>
          <w:p w14:paraId="36A576F1">
            <w:pPr>
              <w:widowControl/>
              <w:jc w:val="center"/>
              <w:rPr>
                <w:color w:val="000000"/>
                <w:kern w:val="0"/>
                <w:szCs w:val="21"/>
              </w:rPr>
            </w:pPr>
            <w:r>
              <w:rPr>
                <w:rFonts w:hint="eastAsia"/>
                <w:color w:val="000000"/>
                <w:kern w:val="0"/>
                <w:szCs w:val="21"/>
              </w:rPr>
              <w:t>目标物质</w:t>
            </w:r>
            <w:r>
              <w:rPr>
                <w:color w:val="000000"/>
                <w:kern w:val="0"/>
                <w:szCs w:val="21"/>
              </w:rPr>
              <w:t>名称</w:t>
            </w:r>
          </w:p>
        </w:tc>
        <w:tc>
          <w:tcPr>
            <w:tcW w:w="1160" w:type="dxa"/>
            <w:noWrap/>
            <w:vAlign w:val="bottom"/>
          </w:tcPr>
          <w:p w14:paraId="04D0D000">
            <w:pPr>
              <w:widowControl/>
              <w:jc w:val="center"/>
              <w:rPr>
                <w:color w:val="000000"/>
                <w:kern w:val="0"/>
                <w:szCs w:val="21"/>
              </w:rPr>
            </w:pPr>
            <w:r>
              <w:rPr>
                <w:szCs w:val="21"/>
              </w:rPr>
              <w:t>R</w:t>
            </w:r>
            <w:r>
              <w:rPr>
                <w:szCs w:val="21"/>
                <w:vertAlign w:val="superscript"/>
              </w:rPr>
              <w:t>2</w:t>
            </w:r>
          </w:p>
        </w:tc>
        <w:tc>
          <w:tcPr>
            <w:tcW w:w="1301" w:type="dxa"/>
            <w:noWrap/>
            <w:vAlign w:val="bottom"/>
          </w:tcPr>
          <w:p w14:paraId="59C8384F">
            <w:pPr>
              <w:widowControl/>
              <w:jc w:val="center"/>
              <w:rPr>
                <w:color w:val="000000"/>
                <w:kern w:val="0"/>
                <w:szCs w:val="21"/>
              </w:rPr>
            </w:pPr>
            <w:r>
              <w:rPr>
                <w:rFonts w:hint="eastAsia"/>
                <w:color w:val="000000"/>
                <w:kern w:val="0"/>
                <w:szCs w:val="21"/>
              </w:rPr>
              <w:t>精密度/%</w:t>
            </w:r>
          </w:p>
        </w:tc>
        <w:tc>
          <w:tcPr>
            <w:tcW w:w="1430" w:type="dxa"/>
            <w:noWrap/>
            <w:vAlign w:val="bottom"/>
          </w:tcPr>
          <w:p w14:paraId="71252442">
            <w:pPr>
              <w:widowControl/>
              <w:jc w:val="center"/>
              <w:rPr>
                <w:color w:val="000000"/>
                <w:kern w:val="0"/>
                <w:szCs w:val="21"/>
              </w:rPr>
            </w:pPr>
            <w:r>
              <w:rPr>
                <w:color w:val="000000"/>
                <w:kern w:val="0"/>
                <w:szCs w:val="21"/>
              </w:rPr>
              <w:t>回收率</w:t>
            </w:r>
            <w:r>
              <w:rPr>
                <w:rFonts w:hint="eastAsia"/>
                <w:color w:val="000000"/>
                <w:kern w:val="0"/>
                <w:szCs w:val="21"/>
              </w:rPr>
              <w:t>/</w:t>
            </w:r>
            <w:r>
              <w:rPr>
                <w:color w:val="000000"/>
                <w:kern w:val="0"/>
                <w:szCs w:val="21"/>
              </w:rPr>
              <w:t>%</w:t>
            </w:r>
          </w:p>
        </w:tc>
      </w:tr>
      <w:tr w14:paraId="779D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535DD97B">
            <w:pPr>
              <w:widowControl/>
              <w:jc w:val="center"/>
              <w:rPr>
                <w:color w:val="000000"/>
                <w:kern w:val="0"/>
                <w:szCs w:val="21"/>
              </w:rPr>
            </w:pPr>
            <w:r>
              <w:rPr>
                <w:rFonts w:hint="eastAsia"/>
                <w:color w:val="000000"/>
                <w:kern w:val="0"/>
                <w:szCs w:val="21"/>
              </w:rPr>
              <w:t>1</w:t>
            </w:r>
          </w:p>
        </w:tc>
        <w:tc>
          <w:tcPr>
            <w:tcW w:w="3480" w:type="dxa"/>
            <w:noWrap/>
            <w:vAlign w:val="bottom"/>
          </w:tcPr>
          <w:p w14:paraId="75F12EC5">
            <w:pPr>
              <w:widowControl/>
              <w:jc w:val="left"/>
              <w:rPr>
                <w:color w:val="000000"/>
                <w:kern w:val="0"/>
                <w:szCs w:val="21"/>
              </w:rPr>
            </w:pPr>
            <w:r>
              <w:rPr>
                <w:color w:val="000000"/>
                <w:kern w:val="0"/>
                <w:szCs w:val="21"/>
              </w:rPr>
              <w:t>4-氨基联苯</w:t>
            </w:r>
          </w:p>
        </w:tc>
        <w:tc>
          <w:tcPr>
            <w:tcW w:w="1160" w:type="dxa"/>
            <w:noWrap/>
            <w:vAlign w:val="bottom"/>
          </w:tcPr>
          <w:p w14:paraId="409C2152">
            <w:pPr>
              <w:widowControl/>
              <w:jc w:val="center"/>
              <w:rPr>
                <w:color w:val="000000"/>
                <w:kern w:val="0"/>
                <w:szCs w:val="21"/>
              </w:rPr>
            </w:pPr>
            <w:r>
              <w:rPr>
                <w:color w:val="000000"/>
                <w:kern w:val="0"/>
                <w:szCs w:val="21"/>
              </w:rPr>
              <w:t>0.9997</w:t>
            </w:r>
          </w:p>
        </w:tc>
        <w:tc>
          <w:tcPr>
            <w:tcW w:w="1301" w:type="dxa"/>
            <w:noWrap/>
            <w:vAlign w:val="bottom"/>
          </w:tcPr>
          <w:p w14:paraId="40B7140A">
            <w:pPr>
              <w:widowControl/>
              <w:jc w:val="center"/>
              <w:rPr>
                <w:color w:val="000000"/>
                <w:kern w:val="0"/>
                <w:szCs w:val="21"/>
              </w:rPr>
            </w:pPr>
            <w:r>
              <w:rPr>
                <w:rFonts w:hint="eastAsia"/>
                <w:color w:val="000000"/>
                <w:kern w:val="0"/>
                <w:szCs w:val="21"/>
              </w:rPr>
              <w:t>3.17</w:t>
            </w:r>
          </w:p>
        </w:tc>
        <w:tc>
          <w:tcPr>
            <w:tcW w:w="1430" w:type="dxa"/>
            <w:noWrap/>
          </w:tcPr>
          <w:p w14:paraId="4A88A7E3">
            <w:pPr>
              <w:widowControl/>
              <w:jc w:val="center"/>
              <w:rPr>
                <w:color w:val="000000"/>
                <w:kern w:val="0"/>
                <w:szCs w:val="21"/>
              </w:rPr>
            </w:pPr>
            <w:r>
              <w:t>103.93</w:t>
            </w:r>
          </w:p>
        </w:tc>
      </w:tr>
      <w:tr w14:paraId="71847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42038D78">
            <w:pPr>
              <w:widowControl/>
              <w:jc w:val="center"/>
              <w:rPr>
                <w:color w:val="000000"/>
                <w:kern w:val="0"/>
                <w:szCs w:val="21"/>
              </w:rPr>
            </w:pPr>
            <w:r>
              <w:rPr>
                <w:rFonts w:hint="eastAsia"/>
                <w:color w:val="000000"/>
                <w:kern w:val="0"/>
                <w:szCs w:val="21"/>
              </w:rPr>
              <w:t>2</w:t>
            </w:r>
          </w:p>
        </w:tc>
        <w:tc>
          <w:tcPr>
            <w:tcW w:w="3480" w:type="dxa"/>
            <w:noWrap/>
            <w:vAlign w:val="bottom"/>
          </w:tcPr>
          <w:p w14:paraId="71DD04AD">
            <w:pPr>
              <w:widowControl/>
              <w:jc w:val="left"/>
              <w:rPr>
                <w:color w:val="000000"/>
                <w:kern w:val="0"/>
                <w:szCs w:val="21"/>
              </w:rPr>
            </w:pPr>
            <w:r>
              <w:rPr>
                <w:color w:val="000000"/>
                <w:kern w:val="0"/>
                <w:szCs w:val="21"/>
              </w:rPr>
              <w:t>联苯胺</w:t>
            </w:r>
          </w:p>
        </w:tc>
        <w:tc>
          <w:tcPr>
            <w:tcW w:w="1160" w:type="dxa"/>
            <w:noWrap/>
            <w:vAlign w:val="bottom"/>
          </w:tcPr>
          <w:p w14:paraId="47096326">
            <w:pPr>
              <w:widowControl/>
              <w:jc w:val="center"/>
              <w:rPr>
                <w:color w:val="000000"/>
                <w:kern w:val="0"/>
                <w:szCs w:val="21"/>
              </w:rPr>
            </w:pPr>
            <w:r>
              <w:rPr>
                <w:color w:val="000000"/>
                <w:kern w:val="0"/>
                <w:szCs w:val="21"/>
              </w:rPr>
              <w:t>0.9993</w:t>
            </w:r>
          </w:p>
        </w:tc>
        <w:tc>
          <w:tcPr>
            <w:tcW w:w="1301" w:type="dxa"/>
            <w:noWrap/>
            <w:vAlign w:val="bottom"/>
          </w:tcPr>
          <w:p w14:paraId="4E2D7DD9">
            <w:pPr>
              <w:widowControl/>
              <w:jc w:val="center"/>
              <w:rPr>
                <w:color w:val="000000"/>
                <w:kern w:val="0"/>
                <w:szCs w:val="21"/>
              </w:rPr>
            </w:pPr>
            <w:r>
              <w:rPr>
                <w:rFonts w:hint="eastAsia"/>
                <w:color w:val="000000"/>
                <w:kern w:val="0"/>
                <w:szCs w:val="21"/>
              </w:rPr>
              <w:t>0.34</w:t>
            </w:r>
          </w:p>
        </w:tc>
        <w:tc>
          <w:tcPr>
            <w:tcW w:w="1430" w:type="dxa"/>
            <w:noWrap/>
          </w:tcPr>
          <w:p w14:paraId="4241CDE4">
            <w:pPr>
              <w:widowControl/>
              <w:jc w:val="center"/>
              <w:rPr>
                <w:color w:val="000000"/>
                <w:kern w:val="0"/>
                <w:szCs w:val="21"/>
              </w:rPr>
            </w:pPr>
            <w:r>
              <w:t>94.97</w:t>
            </w:r>
          </w:p>
        </w:tc>
      </w:tr>
      <w:tr w14:paraId="4E04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2EEB9458">
            <w:pPr>
              <w:widowControl/>
              <w:jc w:val="center"/>
              <w:rPr>
                <w:color w:val="000000"/>
                <w:kern w:val="0"/>
                <w:szCs w:val="21"/>
              </w:rPr>
            </w:pPr>
            <w:r>
              <w:rPr>
                <w:rFonts w:hint="eastAsia"/>
                <w:color w:val="000000"/>
                <w:kern w:val="0"/>
                <w:szCs w:val="21"/>
              </w:rPr>
              <w:t>3</w:t>
            </w:r>
          </w:p>
        </w:tc>
        <w:tc>
          <w:tcPr>
            <w:tcW w:w="3480" w:type="dxa"/>
            <w:noWrap/>
            <w:vAlign w:val="bottom"/>
          </w:tcPr>
          <w:p w14:paraId="020CA3DA">
            <w:pPr>
              <w:widowControl/>
              <w:jc w:val="left"/>
              <w:rPr>
                <w:color w:val="000000"/>
                <w:kern w:val="0"/>
                <w:szCs w:val="21"/>
              </w:rPr>
            </w:pPr>
            <w:r>
              <w:rPr>
                <w:color w:val="000000"/>
                <w:kern w:val="0"/>
                <w:szCs w:val="21"/>
              </w:rPr>
              <w:t>4-氯邻甲苯胺</w:t>
            </w:r>
          </w:p>
        </w:tc>
        <w:tc>
          <w:tcPr>
            <w:tcW w:w="1160" w:type="dxa"/>
            <w:noWrap/>
            <w:vAlign w:val="bottom"/>
          </w:tcPr>
          <w:p w14:paraId="39F682CA">
            <w:pPr>
              <w:widowControl/>
              <w:jc w:val="center"/>
              <w:rPr>
                <w:color w:val="000000"/>
                <w:kern w:val="0"/>
                <w:szCs w:val="21"/>
              </w:rPr>
            </w:pPr>
            <w:r>
              <w:rPr>
                <w:color w:val="000000"/>
                <w:kern w:val="0"/>
                <w:szCs w:val="21"/>
              </w:rPr>
              <w:t>0.9999</w:t>
            </w:r>
          </w:p>
        </w:tc>
        <w:tc>
          <w:tcPr>
            <w:tcW w:w="1301" w:type="dxa"/>
            <w:noWrap/>
            <w:vAlign w:val="bottom"/>
          </w:tcPr>
          <w:p w14:paraId="410459C0">
            <w:pPr>
              <w:widowControl/>
              <w:jc w:val="center"/>
              <w:rPr>
                <w:color w:val="000000"/>
                <w:kern w:val="0"/>
                <w:szCs w:val="21"/>
              </w:rPr>
            </w:pPr>
            <w:r>
              <w:rPr>
                <w:rFonts w:hint="eastAsia"/>
                <w:color w:val="000000"/>
                <w:kern w:val="0"/>
                <w:szCs w:val="21"/>
              </w:rPr>
              <w:t>1.65</w:t>
            </w:r>
          </w:p>
        </w:tc>
        <w:tc>
          <w:tcPr>
            <w:tcW w:w="1430" w:type="dxa"/>
            <w:noWrap/>
          </w:tcPr>
          <w:p w14:paraId="5EF3E77A">
            <w:pPr>
              <w:widowControl/>
              <w:jc w:val="center"/>
              <w:rPr>
                <w:color w:val="000000"/>
                <w:kern w:val="0"/>
                <w:szCs w:val="21"/>
              </w:rPr>
            </w:pPr>
            <w:r>
              <w:t>91.61</w:t>
            </w:r>
          </w:p>
        </w:tc>
      </w:tr>
      <w:tr w14:paraId="6BA4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7DCB2B8B">
            <w:pPr>
              <w:widowControl/>
              <w:jc w:val="center"/>
              <w:rPr>
                <w:color w:val="000000"/>
                <w:kern w:val="0"/>
                <w:szCs w:val="21"/>
              </w:rPr>
            </w:pPr>
            <w:r>
              <w:rPr>
                <w:rFonts w:hint="eastAsia"/>
                <w:color w:val="000000"/>
                <w:kern w:val="0"/>
                <w:szCs w:val="21"/>
              </w:rPr>
              <w:t>4</w:t>
            </w:r>
          </w:p>
        </w:tc>
        <w:tc>
          <w:tcPr>
            <w:tcW w:w="3480" w:type="dxa"/>
            <w:noWrap/>
            <w:vAlign w:val="bottom"/>
          </w:tcPr>
          <w:p w14:paraId="0C79AF92">
            <w:pPr>
              <w:widowControl/>
              <w:jc w:val="left"/>
              <w:rPr>
                <w:color w:val="000000"/>
                <w:kern w:val="0"/>
                <w:szCs w:val="21"/>
              </w:rPr>
            </w:pPr>
            <w:r>
              <w:rPr>
                <w:color w:val="000000"/>
                <w:kern w:val="0"/>
                <w:szCs w:val="21"/>
              </w:rPr>
              <w:t>2-萘胺</w:t>
            </w:r>
          </w:p>
        </w:tc>
        <w:tc>
          <w:tcPr>
            <w:tcW w:w="1160" w:type="dxa"/>
            <w:noWrap/>
            <w:vAlign w:val="bottom"/>
          </w:tcPr>
          <w:p w14:paraId="33512711">
            <w:pPr>
              <w:widowControl/>
              <w:jc w:val="center"/>
              <w:rPr>
                <w:color w:val="000000"/>
                <w:kern w:val="0"/>
                <w:szCs w:val="21"/>
              </w:rPr>
            </w:pPr>
            <w:r>
              <w:rPr>
                <w:color w:val="000000"/>
                <w:kern w:val="0"/>
                <w:szCs w:val="21"/>
              </w:rPr>
              <w:t>0.9994</w:t>
            </w:r>
          </w:p>
        </w:tc>
        <w:tc>
          <w:tcPr>
            <w:tcW w:w="1301" w:type="dxa"/>
            <w:noWrap/>
            <w:vAlign w:val="bottom"/>
          </w:tcPr>
          <w:p w14:paraId="4B548567">
            <w:pPr>
              <w:widowControl/>
              <w:jc w:val="center"/>
              <w:rPr>
                <w:color w:val="000000"/>
                <w:kern w:val="0"/>
                <w:szCs w:val="21"/>
              </w:rPr>
            </w:pPr>
            <w:r>
              <w:rPr>
                <w:rFonts w:hint="eastAsia"/>
                <w:color w:val="000000"/>
                <w:kern w:val="0"/>
                <w:szCs w:val="21"/>
              </w:rPr>
              <w:t>3.35</w:t>
            </w:r>
          </w:p>
        </w:tc>
        <w:tc>
          <w:tcPr>
            <w:tcW w:w="1430" w:type="dxa"/>
            <w:noWrap/>
          </w:tcPr>
          <w:p w14:paraId="048E8C2D">
            <w:pPr>
              <w:widowControl/>
              <w:jc w:val="center"/>
              <w:rPr>
                <w:color w:val="000000"/>
                <w:kern w:val="0"/>
                <w:szCs w:val="21"/>
              </w:rPr>
            </w:pPr>
            <w:r>
              <w:t>92.01</w:t>
            </w:r>
          </w:p>
        </w:tc>
      </w:tr>
      <w:tr w14:paraId="576E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540AED53">
            <w:pPr>
              <w:widowControl/>
              <w:jc w:val="center"/>
              <w:rPr>
                <w:color w:val="000000"/>
                <w:kern w:val="0"/>
                <w:szCs w:val="21"/>
              </w:rPr>
            </w:pPr>
            <w:r>
              <w:rPr>
                <w:rFonts w:hint="eastAsia"/>
                <w:color w:val="000000"/>
                <w:kern w:val="0"/>
                <w:szCs w:val="21"/>
              </w:rPr>
              <w:t>5</w:t>
            </w:r>
          </w:p>
        </w:tc>
        <w:tc>
          <w:tcPr>
            <w:tcW w:w="3480" w:type="dxa"/>
            <w:noWrap/>
            <w:vAlign w:val="bottom"/>
          </w:tcPr>
          <w:p w14:paraId="1736A141">
            <w:pPr>
              <w:widowControl/>
              <w:jc w:val="left"/>
              <w:rPr>
                <w:color w:val="000000"/>
                <w:kern w:val="0"/>
                <w:szCs w:val="21"/>
              </w:rPr>
            </w:pPr>
            <w:r>
              <w:rPr>
                <w:color w:val="000000"/>
                <w:kern w:val="0"/>
                <w:szCs w:val="21"/>
              </w:rPr>
              <w:t>邻氨基偶氮甲苯</w:t>
            </w:r>
          </w:p>
        </w:tc>
        <w:tc>
          <w:tcPr>
            <w:tcW w:w="1160" w:type="dxa"/>
            <w:noWrap/>
            <w:vAlign w:val="bottom"/>
          </w:tcPr>
          <w:p w14:paraId="25D4E8D9">
            <w:pPr>
              <w:widowControl/>
              <w:jc w:val="center"/>
              <w:rPr>
                <w:color w:val="000000"/>
                <w:kern w:val="0"/>
                <w:szCs w:val="21"/>
              </w:rPr>
            </w:pPr>
            <w:r>
              <w:rPr>
                <w:color w:val="000000"/>
                <w:kern w:val="0"/>
                <w:szCs w:val="21"/>
              </w:rPr>
              <w:t>0.9996</w:t>
            </w:r>
          </w:p>
        </w:tc>
        <w:tc>
          <w:tcPr>
            <w:tcW w:w="1301" w:type="dxa"/>
            <w:noWrap/>
            <w:vAlign w:val="bottom"/>
          </w:tcPr>
          <w:p w14:paraId="73F58314">
            <w:pPr>
              <w:widowControl/>
              <w:jc w:val="center"/>
              <w:rPr>
                <w:color w:val="000000"/>
                <w:kern w:val="0"/>
                <w:szCs w:val="21"/>
              </w:rPr>
            </w:pPr>
            <w:r>
              <w:rPr>
                <w:rFonts w:hint="eastAsia"/>
                <w:color w:val="000000"/>
                <w:kern w:val="0"/>
                <w:szCs w:val="21"/>
              </w:rPr>
              <w:t>2.13</w:t>
            </w:r>
          </w:p>
        </w:tc>
        <w:tc>
          <w:tcPr>
            <w:tcW w:w="1430" w:type="dxa"/>
            <w:noWrap/>
          </w:tcPr>
          <w:p w14:paraId="2CB28396">
            <w:pPr>
              <w:widowControl/>
              <w:jc w:val="center"/>
              <w:rPr>
                <w:color w:val="FF0000"/>
                <w:kern w:val="0"/>
                <w:szCs w:val="21"/>
              </w:rPr>
            </w:pPr>
            <w:r>
              <w:rPr>
                <w:rFonts w:hint="eastAsia"/>
                <w:color w:val="000000" w:themeColor="text1"/>
                <w14:textFill>
                  <w14:solidFill>
                    <w14:schemeClr w14:val="tx1"/>
                  </w14:solidFill>
                </w14:textFill>
              </w:rPr>
              <w:t>/</w:t>
            </w:r>
          </w:p>
        </w:tc>
      </w:tr>
      <w:tr w14:paraId="0FD65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176BDD6D">
            <w:pPr>
              <w:widowControl/>
              <w:jc w:val="center"/>
              <w:rPr>
                <w:color w:val="000000"/>
                <w:kern w:val="0"/>
                <w:szCs w:val="21"/>
              </w:rPr>
            </w:pPr>
            <w:r>
              <w:rPr>
                <w:rFonts w:hint="eastAsia"/>
                <w:color w:val="000000"/>
                <w:kern w:val="0"/>
                <w:szCs w:val="21"/>
              </w:rPr>
              <w:t>6</w:t>
            </w:r>
          </w:p>
        </w:tc>
        <w:tc>
          <w:tcPr>
            <w:tcW w:w="3480" w:type="dxa"/>
            <w:noWrap/>
            <w:vAlign w:val="bottom"/>
          </w:tcPr>
          <w:p w14:paraId="555DEC84">
            <w:pPr>
              <w:widowControl/>
              <w:jc w:val="left"/>
              <w:rPr>
                <w:color w:val="000000"/>
                <w:kern w:val="0"/>
                <w:szCs w:val="21"/>
              </w:rPr>
            </w:pPr>
            <w:r>
              <w:rPr>
                <w:color w:val="000000"/>
                <w:kern w:val="0"/>
                <w:szCs w:val="21"/>
              </w:rPr>
              <w:t>5-硝基-邻甲苯胺</w:t>
            </w:r>
          </w:p>
        </w:tc>
        <w:tc>
          <w:tcPr>
            <w:tcW w:w="1160" w:type="dxa"/>
            <w:noWrap/>
            <w:vAlign w:val="bottom"/>
          </w:tcPr>
          <w:p w14:paraId="0F4762BE">
            <w:pPr>
              <w:widowControl/>
              <w:jc w:val="center"/>
              <w:rPr>
                <w:color w:val="000000"/>
                <w:kern w:val="0"/>
                <w:szCs w:val="21"/>
              </w:rPr>
            </w:pPr>
            <w:r>
              <w:rPr>
                <w:color w:val="000000"/>
                <w:kern w:val="0"/>
                <w:szCs w:val="21"/>
              </w:rPr>
              <w:t>0.9990</w:t>
            </w:r>
          </w:p>
        </w:tc>
        <w:tc>
          <w:tcPr>
            <w:tcW w:w="1301" w:type="dxa"/>
            <w:noWrap/>
            <w:vAlign w:val="bottom"/>
          </w:tcPr>
          <w:p w14:paraId="40A3BDE2">
            <w:pPr>
              <w:widowControl/>
              <w:jc w:val="center"/>
              <w:rPr>
                <w:color w:val="000000"/>
                <w:kern w:val="0"/>
                <w:szCs w:val="21"/>
              </w:rPr>
            </w:pPr>
            <w:r>
              <w:rPr>
                <w:rFonts w:hint="eastAsia"/>
                <w:color w:val="000000"/>
                <w:kern w:val="0"/>
                <w:szCs w:val="21"/>
              </w:rPr>
              <w:t>2.49</w:t>
            </w:r>
          </w:p>
        </w:tc>
        <w:tc>
          <w:tcPr>
            <w:tcW w:w="1430" w:type="dxa"/>
            <w:noWrap/>
          </w:tcPr>
          <w:p w14:paraId="64B85D0B">
            <w:pPr>
              <w:widowControl/>
              <w:jc w:val="center"/>
              <w:rPr>
                <w:color w:val="FF0000"/>
                <w:kern w:val="0"/>
                <w:szCs w:val="21"/>
              </w:rPr>
            </w:pPr>
            <w:r>
              <w:rPr>
                <w:rFonts w:hint="eastAsia"/>
              </w:rPr>
              <w:t>/</w:t>
            </w:r>
          </w:p>
        </w:tc>
      </w:tr>
      <w:tr w14:paraId="3996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30748A6A">
            <w:pPr>
              <w:widowControl/>
              <w:jc w:val="center"/>
              <w:rPr>
                <w:color w:val="000000"/>
                <w:kern w:val="0"/>
                <w:szCs w:val="21"/>
              </w:rPr>
            </w:pPr>
            <w:r>
              <w:rPr>
                <w:rFonts w:hint="eastAsia"/>
                <w:color w:val="000000"/>
                <w:kern w:val="0"/>
                <w:szCs w:val="21"/>
              </w:rPr>
              <w:t>7</w:t>
            </w:r>
          </w:p>
        </w:tc>
        <w:tc>
          <w:tcPr>
            <w:tcW w:w="3480" w:type="dxa"/>
            <w:noWrap/>
            <w:vAlign w:val="bottom"/>
          </w:tcPr>
          <w:p w14:paraId="2CAC14C9">
            <w:pPr>
              <w:widowControl/>
              <w:jc w:val="left"/>
              <w:rPr>
                <w:color w:val="000000"/>
                <w:kern w:val="0"/>
                <w:szCs w:val="21"/>
              </w:rPr>
            </w:pPr>
            <w:r>
              <w:rPr>
                <w:color w:val="000000"/>
                <w:kern w:val="0"/>
                <w:szCs w:val="21"/>
              </w:rPr>
              <w:t>对氯苯胺</w:t>
            </w:r>
          </w:p>
        </w:tc>
        <w:tc>
          <w:tcPr>
            <w:tcW w:w="1160" w:type="dxa"/>
            <w:noWrap/>
            <w:vAlign w:val="bottom"/>
          </w:tcPr>
          <w:p w14:paraId="60A61DC3">
            <w:pPr>
              <w:widowControl/>
              <w:jc w:val="center"/>
              <w:rPr>
                <w:color w:val="000000"/>
                <w:kern w:val="0"/>
                <w:szCs w:val="21"/>
              </w:rPr>
            </w:pPr>
            <w:r>
              <w:rPr>
                <w:color w:val="000000"/>
                <w:kern w:val="0"/>
                <w:szCs w:val="21"/>
              </w:rPr>
              <w:t>0.9992</w:t>
            </w:r>
          </w:p>
        </w:tc>
        <w:tc>
          <w:tcPr>
            <w:tcW w:w="1301" w:type="dxa"/>
            <w:noWrap/>
            <w:vAlign w:val="bottom"/>
          </w:tcPr>
          <w:p w14:paraId="5FD0AB43">
            <w:pPr>
              <w:widowControl/>
              <w:jc w:val="center"/>
              <w:rPr>
                <w:color w:val="000000"/>
                <w:kern w:val="0"/>
                <w:szCs w:val="21"/>
              </w:rPr>
            </w:pPr>
            <w:r>
              <w:rPr>
                <w:rFonts w:hint="eastAsia"/>
                <w:color w:val="000000"/>
                <w:kern w:val="0"/>
                <w:szCs w:val="21"/>
              </w:rPr>
              <w:t>1.68</w:t>
            </w:r>
          </w:p>
        </w:tc>
        <w:tc>
          <w:tcPr>
            <w:tcW w:w="1430" w:type="dxa"/>
            <w:noWrap/>
          </w:tcPr>
          <w:p w14:paraId="634718FB">
            <w:pPr>
              <w:widowControl/>
              <w:jc w:val="center"/>
              <w:rPr>
                <w:color w:val="000000"/>
                <w:kern w:val="0"/>
                <w:szCs w:val="21"/>
              </w:rPr>
            </w:pPr>
            <w:r>
              <w:t>77.41</w:t>
            </w:r>
          </w:p>
        </w:tc>
      </w:tr>
      <w:tr w14:paraId="47D4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43A6D013">
            <w:pPr>
              <w:widowControl/>
              <w:jc w:val="center"/>
              <w:rPr>
                <w:color w:val="000000"/>
                <w:kern w:val="0"/>
                <w:szCs w:val="21"/>
              </w:rPr>
            </w:pPr>
            <w:r>
              <w:rPr>
                <w:rFonts w:hint="eastAsia"/>
                <w:color w:val="000000"/>
                <w:kern w:val="0"/>
                <w:szCs w:val="21"/>
              </w:rPr>
              <w:t>8</w:t>
            </w:r>
          </w:p>
        </w:tc>
        <w:tc>
          <w:tcPr>
            <w:tcW w:w="3480" w:type="dxa"/>
            <w:noWrap/>
            <w:vAlign w:val="bottom"/>
          </w:tcPr>
          <w:p w14:paraId="554B602C">
            <w:pPr>
              <w:widowControl/>
              <w:jc w:val="left"/>
              <w:rPr>
                <w:color w:val="000000"/>
                <w:kern w:val="0"/>
                <w:szCs w:val="21"/>
              </w:rPr>
            </w:pPr>
            <w:r>
              <w:rPr>
                <w:color w:val="000000"/>
                <w:kern w:val="0"/>
                <w:szCs w:val="21"/>
              </w:rPr>
              <w:t>2，4-二氨基苯甲醚</w:t>
            </w:r>
          </w:p>
        </w:tc>
        <w:tc>
          <w:tcPr>
            <w:tcW w:w="1160" w:type="dxa"/>
            <w:noWrap/>
            <w:vAlign w:val="bottom"/>
          </w:tcPr>
          <w:p w14:paraId="47B56681">
            <w:pPr>
              <w:widowControl/>
              <w:jc w:val="center"/>
              <w:rPr>
                <w:color w:val="000000"/>
                <w:kern w:val="0"/>
                <w:szCs w:val="21"/>
              </w:rPr>
            </w:pPr>
            <w:r>
              <w:rPr>
                <w:color w:val="000000"/>
                <w:kern w:val="0"/>
                <w:szCs w:val="21"/>
              </w:rPr>
              <w:t>0.9991</w:t>
            </w:r>
          </w:p>
        </w:tc>
        <w:tc>
          <w:tcPr>
            <w:tcW w:w="1301" w:type="dxa"/>
            <w:noWrap/>
            <w:vAlign w:val="bottom"/>
          </w:tcPr>
          <w:p w14:paraId="152A39A2">
            <w:pPr>
              <w:widowControl/>
              <w:jc w:val="center"/>
              <w:rPr>
                <w:color w:val="000000"/>
                <w:kern w:val="0"/>
                <w:szCs w:val="21"/>
              </w:rPr>
            </w:pPr>
            <w:r>
              <w:rPr>
                <w:rFonts w:hint="eastAsia"/>
                <w:color w:val="000000"/>
                <w:kern w:val="0"/>
                <w:szCs w:val="21"/>
              </w:rPr>
              <w:t>1.74</w:t>
            </w:r>
          </w:p>
        </w:tc>
        <w:tc>
          <w:tcPr>
            <w:tcW w:w="1430" w:type="dxa"/>
            <w:noWrap/>
          </w:tcPr>
          <w:p w14:paraId="0FF1BC5E">
            <w:pPr>
              <w:widowControl/>
              <w:jc w:val="center"/>
              <w:rPr>
                <w:color w:val="FF0000"/>
                <w:kern w:val="0"/>
                <w:szCs w:val="21"/>
              </w:rPr>
            </w:pPr>
            <w:r>
              <w:t>26.78</w:t>
            </w:r>
          </w:p>
        </w:tc>
      </w:tr>
      <w:tr w14:paraId="47A0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38232F19">
            <w:pPr>
              <w:widowControl/>
              <w:jc w:val="center"/>
              <w:rPr>
                <w:color w:val="000000"/>
                <w:kern w:val="0"/>
                <w:szCs w:val="21"/>
              </w:rPr>
            </w:pPr>
            <w:r>
              <w:rPr>
                <w:rFonts w:hint="eastAsia"/>
                <w:color w:val="000000"/>
                <w:kern w:val="0"/>
                <w:szCs w:val="21"/>
              </w:rPr>
              <w:t>9</w:t>
            </w:r>
          </w:p>
        </w:tc>
        <w:tc>
          <w:tcPr>
            <w:tcW w:w="3480" w:type="dxa"/>
            <w:noWrap/>
            <w:vAlign w:val="bottom"/>
          </w:tcPr>
          <w:p w14:paraId="309032CE">
            <w:pPr>
              <w:widowControl/>
              <w:jc w:val="left"/>
              <w:rPr>
                <w:color w:val="000000"/>
                <w:kern w:val="0"/>
                <w:szCs w:val="21"/>
              </w:rPr>
            </w:pPr>
            <w:r>
              <w:rPr>
                <w:color w:val="000000"/>
                <w:kern w:val="0"/>
                <w:szCs w:val="21"/>
              </w:rPr>
              <w:t>4，4-二氨基二苯甲烷</w:t>
            </w:r>
          </w:p>
        </w:tc>
        <w:tc>
          <w:tcPr>
            <w:tcW w:w="1160" w:type="dxa"/>
            <w:noWrap/>
            <w:vAlign w:val="bottom"/>
          </w:tcPr>
          <w:p w14:paraId="26F9CB86">
            <w:pPr>
              <w:widowControl/>
              <w:jc w:val="center"/>
              <w:rPr>
                <w:color w:val="000000"/>
                <w:kern w:val="0"/>
                <w:szCs w:val="21"/>
              </w:rPr>
            </w:pPr>
            <w:r>
              <w:rPr>
                <w:color w:val="000000"/>
                <w:kern w:val="0"/>
                <w:szCs w:val="21"/>
              </w:rPr>
              <w:t>0.9999</w:t>
            </w:r>
          </w:p>
        </w:tc>
        <w:tc>
          <w:tcPr>
            <w:tcW w:w="1301" w:type="dxa"/>
            <w:noWrap/>
            <w:vAlign w:val="bottom"/>
          </w:tcPr>
          <w:p w14:paraId="5801A07B">
            <w:pPr>
              <w:widowControl/>
              <w:jc w:val="center"/>
              <w:rPr>
                <w:color w:val="000000"/>
                <w:kern w:val="0"/>
                <w:szCs w:val="21"/>
              </w:rPr>
            </w:pPr>
            <w:r>
              <w:rPr>
                <w:rFonts w:hint="eastAsia"/>
                <w:color w:val="000000"/>
                <w:kern w:val="0"/>
                <w:szCs w:val="21"/>
              </w:rPr>
              <w:t>3.64</w:t>
            </w:r>
          </w:p>
        </w:tc>
        <w:tc>
          <w:tcPr>
            <w:tcW w:w="1430" w:type="dxa"/>
            <w:noWrap/>
          </w:tcPr>
          <w:p w14:paraId="51766F7D">
            <w:pPr>
              <w:widowControl/>
              <w:jc w:val="center"/>
              <w:rPr>
                <w:color w:val="000000"/>
                <w:kern w:val="0"/>
                <w:szCs w:val="21"/>
              </w:rPr>
            </w:pPr>
            <w:r>
              <w:t>85.23</w:t>
            </w:r>
          </w:p>
        </w:tc>
      </w:tr>
      <w:tr w14:paraId="2177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0456D734">
            <w:pPr>
              <w:widowControl/>
              <w:jc w:val="center"/>
              <w:rPr>
                <w:color w:val="000000"/>
                <w:kern w:val="0"/>
                <w:szCs w:val="21"/>
              </w:rPr>
            </w:pPr>
            <w:r>
              <w:rPr>
                <w:rFonts w:hint="eastAsia"/>
                <w:color w:val="000000"/>
                <w:kern w:val="0"/>
                <w:szCs w:val="21"/>
              </w:rPr>
              <w:t>10</w:t>
            </w:r>
          </w:p>
        </w:tc>
        <w:tc>
          <w:tcPr>
            <w:tcW w:w="3480" w:type="dxa"/>
            <w:noWrap/>
            <w:vAlign w:val="bottom"/>
          </w:tcPr>
          <w:p w14:paraId="608603EA">
            <w:pPr>
              <w:widowControl/>
              <w:jc w:val="left"/>
              <w:rPr>
                <w:color w:val="000000"/>
                <w:kern w:val="0"/>
                <w:szCs w:val="21"/>
              </w:rPr>
            </w:pPr>
            <w:r>
              <w:rPr>
                <w:color w:val="000000"/>
                <w:kern w:val="0"/>
                <w:szCs w:val="21"/>
              </w:rPr>
              <w:t>3，3-二氯联苯胺</w:t>
            </w:r>
          </w:p>
        </w:tc>
        <w:tc>
          <w:tcPr>
            <w:tcW w:w="1160" w:type="dxa"/>
            <w:noWrap/>
            <w:vAlign w:val="bottom"/>
          </w:tcPr>
          <w:p w14:paraId="10511914">
            <w:pPr>
              <w:widowControl/>
              <w:jc w:val="center"/>
              <w:rPr>
                <w:color w:val="000000"/>
                <w:kern w:val="0"/>
                <w:szCs w:val="21"/>
              </w:rPr>
            </w:pPr>
            <w:r>
              <w:rPr>
                <w:color w:val="000000"/>
                <w:kern w:val="0"/>
                <w:szCs w:val="21"/>
              </w:rPr>
              <w:t>0.9990</w:t>
            </w:r>
          </w:p>
        </w:tc>
        <w:tc>
          <w:tcPr>
            <w:tcW w:w="1301" w:type="dxa"/>
            <w:noWrap/>
            <w:vAlign w:val="bottom"/>
          </w:tcPr>
          <w:p w14:paraId="123BCB6A">
            <w:pPr>
              <w:widowControl/>
              <w:jc w:val="center"/>
              <w:rPr>
                <w:color w:val="000000"/>
                <w:kern w:val="0"/>
                <w:szCs w:val="21"/>
              </w:rPr>
            </w:pPr>
            <w:r>
              <w:rPr>
                <w:rFonts w:hint="eastAsia"/>
                <w:color w:val="000000"/>
                <w:kern w:val="0"/>
                <w:szCs w:val="21"/>
              </w:rPr>
              <w:t>1.35</w:t>
            </w:r>
          </w:p>
        </w:tc>
        <w:tc>
          <w:tcPr>
            <w:tcW w:w="1430" w:type="dxa"/>
            <w:noWrap/>
          </w:tcPr>
          <w:p w14:paraId="1AF76F5C">
            <w:pPr>
              <w:widowControl/>
              <w:jc w:val="center"/>
              <w:rPr>
                <w:color w:val="000000"/>
                <w:kern w:val="0"/>
                <w:szCs w:val="21"/>
              </w:rPr>
            </w:pPr>
            <w:r>
              <w:t>110.08</w:t>
            </w:r>
          </w:p>
        </w:tc>
      </w:tr>
      <w:tr w14:paraId="767E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6BD9A96B">
            <w:pPr>
              <w:widowControl/>
              <w:jc w:val="center"/>
              <w:rPr>
                <w:color w:val="000000"/>
                <w:kern w:val="0"/>
                <w:szCs w:val="21"/>
              </w:rPr>
            </w:pPr>
            <w:r>
              <w:rPr>
                <w:rFonts w:hint="eastAsia"/>
                <w:color w:val="000000"/>
                <w:kern w:val="0"/>
                <w:szCs w:val="21"/>
              </w:rPr>
              <w:t>11</w:t>
            </w:r>
          </w:p>
        </w:tc>
        <w:tc>
          <w:tcPr>
            <w:tcW w:w="3480" w:type="dxa"/>
            <w:noWrap/>
            <w:vAlign w:val="bottom"/>
          </w:tcPr>
          <w:p w14:paraId="1099EC40">
            <w:pPr>
              <w:widowControl/>
              <w:jc w:val="left"/>
              <w:rPr>
                <w:color w:val="000000"/>
                <w:kern w:val="0"/>
                <w:szCs w:val="21"/>
              </w:rPr>
            </w:pPr>
            <w:r>
              <w:rPr>
                <w:color w:val="000000"/>
                <w:kern w:val="0"/>
                <w:szCs w:val="21"/>
              </w:rPr>
              <w:t>3，3-二甲氧基联苯胺</w:t>
            </w:r>
          </w:p>
        </w:tc>
        <w:tc>
          <w:tcPr>
            <w:tcW w:w="1160" w:type="dxa"/>
            <w:noWrap/>
            <w:vAlign w:val="bottom"/>
          </w:tcPr>
          <w:p w14:paraId="7C090BE4">
            <w:pPr>
              <w:widowControl/>
              <w:jc w:val="center"/>
              <w:rPr>
                <w:color w:val="000000"/>
                <w:kern w:val="0"/>
                <w:szCs w:val="21"/>
              </w:rPr>
            </w:pPr>
            <w:r>
              <w:rPr>
                <w:color w:val="000000"/>
                <w:kern w:val="0"/>
                <w:szCs w:val="21"/>
              </w:rPr>
              <w:t>0.9996</w:t>
            </w:r>
          </w:p>
        </w:tc>
        <w:tc>
          <w:tcPr>
            <w:tcW w:w="1301" w:type="dxa"/>
            <w:noWrap/>
            <w:vAlign w:val="bottom"/>
          </w:tcPr>
          <w:p w14:paraId="021A3653">
            <w:pPr>
              <w:widowControl/>
              <w:jc w:val="center"/>
              <w:rPr>
                <w:color w:val="000000"/>
                <w:kern w:val="0"/>
                <w:szCs w:val="21"/>
              </w:rPr>
            </w:pPr>
            <w:r>
              <w:rPr>
                <w:rFonts w:hint="eastAsia"/>
                <w:color w:val="000000"/>
                <w:kern w:val="0"/>
                <w:szCs w:val="21"/>
              </w:rPr>
              <w:t>0.79</w:t>
            </w:r>
          </w:p>
        </w:tc>
        <w:tc>
          <w:tcPr>
            <w:tcW w:w="1430" w:type="dxa"/>
            <w:noWrap/>
          </w:tcPr>
          <w:p w14:paraId="42A2B172">
            <w:pPr>
              <w:widowControl/>
              <w:jc w:val="center"/>
              <w:rPr>
                <w:color w:val="000000"/>
                <w:kern w:val="0"/>
                <w:szCs w:val="21"/>
              </w:rPr>
            </w:pPr>
            <w:r>
              <w:t>100.55</w:t>
            </w:r>
          </w:p>
        </w:tc>
      </w:tr>
      <w:tr w14:paraId="690F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39E4A8ED">
            <w:pPr>
              <w:widowControl/>
              <w:jc w:val="center"/>
              <w:rPr>
                <w:color w:val="000000"/>
                <w:kern w:val="0"/>
                <w:szCs w:val="21"/>
              </w:rPr>
            </w:pPr>
            <w:r>
              <w:rPr>
                <w:rFonts w:hint="eastAsia"/>
                <w:color w:val="000000"/>
                <w:kern w:val="0"/>
                <w:szCs w:val="21"/>
              </w:rPr>
              <w:t>12</w:t>
            </w:r>
          </w:p>
        </w:tc>
        <w:tc>
          <w:tcPr>
            <w:tcW w:w="3480" w:type="dxa"/>
            <w:noWrap/>
            <w:vAlign w:val="bottom"/>
          </w:tcPr>
          <w:p w14:paraId="61482FE7">
            <w:pPr>
              <w:widowControl/>
              <w:jc w:val="left"/>
              <w:rPr>
                <w:color w:val="000000"/>
                <w:kern w:val="0"/>
                <w:szCs w:val="21"/>
              </w:rPr>
            </w:pPr>
            <w:r>
              <w:rPr>
                <w:color w:val="000000"/>
                <w:kern w:val="0"/>
                <w:szCs w:val="21"/>
              </w:rPr>
              <w:t>3，3-二甲基联苯胺</w:t>
            </w:r>
          </w:p>
        </w:tc>
        <w:tc>
          <w:tcPr>
            <w:tcW w:w="1160" w:type="dxa"/>
            <w:noWrap/>
            <w:vAlign w:val="bottom"/>
          </w:tcPr>
          <w:p w14:paraId="2962983F">
            <w:pPr>
              <w:widowControl/>
              <w:jc w:val="center"/>
              <w:rPr>
                <w:color w:val="000000"/>
                <w:kern w:val="0"/>
                <w:szCs w:val="21"/>
              </w:rPr>
            </w:pPr>
            <w:r>
              <w:rPr>
                <w:color w:val="000000"/>
                <w:kern w:val="0"/>
                <w:szCs w:val="21"/>
              </w:rPr>
              <w:t>0.9992</w:t>
            </w:r>
          </w:p>
        </w:tc>
        <w:tc>
          <w:tcPr>
            <w:tcW w:w="1301" w:type="dxa"/>
            <w:noWrap/>
            <w:vAlign w:val="bottom"/>
          </w:tcPr>
          <w:p w14:paraId="46776EDF">
            <w:pPr>
              <w:widowControl/>
              <w:jc w:val="center"/>
              <w:rPr>
                <w:color w:val="000000"/>
                <w:kern w:val="0"/>
                <w:szCs w:val="21"/>
              </w:rPr>
            </w:pPr>
            <w:r>
              <w:rPr>
                <w:rFonts w:hint="eastAsia"/>
                <w:color w:val="000000"/>
                <w:kern w:val="0"/>
                <w:szCs w:val="21"/>
              </w:rPr>
              <w:t>2.67</w:t>
            </w:r>
          </w:p>
        </w:tc>
        <w:tc>
          <w:tcPr>
            <w:tcW w:w="1430" w:type="dxa"/>
            <w:noWrap/>
          </w:tcPr>
          <w:p w14:paraId="6EE52D83">
            <w:pPr>
              <w:widowControl/>
              <w:jc w:val="center"/>
              <w:rPr>
                <w:color w:val="000000"/>
                <w:kern w:val="0"/>
                <w:szCs w:val="21"/>
              </w:rPr>
            </w:pPr>
            <w:r>
              <w:t>106.21</w:t>
            </w:r>
          </w:p>
        </w:tc>
      </w:tr>
      <w:tr w14:paraId="76DB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466296E3">
            <w:pPr>
              <w:widowControl/>
              <w:jc w:val="center"/>
              <w:rPr>
                <w:color w:val="000000"/>
                <w:kern w:val="0"/>
                <w:szCs w:val="21"/>
              </w:rPr>
            </w:pPr>
            <w:r>
              <w:rPr>
                <w:rFonts w:hint="eastAsia"/>
                <w:color w:val="000000"/>
                <w:kern w:val="0"/>
                <w:szCs w:val="21"/>
              </w:rPr>
              <w:t>13</w:t>
            </w:r>
          </w:p>
        </w:tc>
        <w:tc>
          <w:tcPr>
            <w:tcW w:w="3480" w:type="dxa"/>
            <w:noWrap/>
            <w:vAlign w:val="bottom"/>
          </w:tcPr>
          <w:p w14:paraId="21F31381">
            <w:pPr>
              <w:widowControl/>
              <w:jc w:val="left"/>
              <w:rPr>
                <w:color w:val="000000"/>
                <w:kern w:val="0"/>
                <w:szCs w:val="21"/>
              </w:rPr>
            </w:pPr>
            <w:r>
              <w:rPr>
                <w:color w:val="000000"/>
                <w:kern w:val="0"/>
                <w:szCs w:val="21"/>
              </w:rPr>
              <w:t>3，3-二甲基-4，4-二氨基二苯甲烷</w:t>
            </w:r>
          </w:p>
        </w:tc>
        <w:tc>
          <w:tcPr>
            <w:tcW w:w="1160" w:type="dxa"/>
            <w:noWrap/>
            <w:vAlign w:val="bottom"/>
          </w:tcPr>
          <w:p w14:paraId="053FEDC5">
            <w:pPr>
              <w:widowControl/>
              <w:jc w:val="center"/>
              <w:rPr>
                <w:color w:val="000000"/>
                <w:kern w:val="0"/>
                <w:szCs w:val="21"/>
              </w:rPr>
            </w:pPr>
            <w:r>
              <w:rPr>
                <w:color w:val="000000"/>
                <w:kern w:val="0"/>
                <w:szCs w:val="21"/>
              </w:rPr>
              <w:t>0.9998</w:t>
            </w:r>
          </w:p>
        </w:tc>
        <w:tc>
          <w:tcPr>
            <w:tcW w:w="1301" w:type="dxa"/>
            <w:noWrap/>
            <w:vAlign w:val="bottom"/>
          </w:tcPr>
          <w:p w14:paraId="009150FF">
            <w:pPr>
              <w:widowControl/>
              <w:jc w:val="center"/>
              <w:rPr>
                <w:color w:val="000000"/>
                <w:kern w:val="0"/>
                <w:szCs w:val="21"/>
              </w:rPr>
            </w:pPr>
            <w:r>
              <w:rPr>
                <w:rFonts w:hint="eastAsia"/>
                <w:color w:val="000000"/>
                <w:kern w:val="0"/>
                <w:szCs w:val="21"/>
              </w:rPr>
              <w:t>1.34</w:t>
            </w:r>
          </w:p>
        </w:tc>
        <w:tc>
          <w:tcPr>
            <w:tcW w:w="1430" w:type="dxa"/>
            <w:noWrap/>
          </w:tcPr>
          <w:p w14:paraId="61DD037A">
            <w:pPr>
              <w:widowControl/>
              <w:jc w:val="center"/>
              <w:rPr>
                <w:color w:val="000000"/>
                <w:kern w:val="0"/>
                <w:szCs w:val="21"/>
              </w:rPr>
            </w:pPr>
            <w:r>
              <w:t>108.23</w:t>
            </w:r>
          </w:p>
        </w:tc>
      </w:tr>
      <w:tr w14:paraId="653E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6372EDF3">
            <w:pPr>
              <w:widowControl/>
              <w:jc w:val="center"/>
              <w:rPr>
                <w:color w:val="000000"/>
                <w:kern w:val="0"/>
                <w:szCs w:val="21"/>
              </w:rPr>
            </w:pPr>
            <w:r>
              <w:rPr>
                <w:rFonts w:hint="eastAsia"/>
                <w:color w:val="000000"/>
                <w:kern w:val="0"/>
                <w:szCs w:val="21"/>
              </w:rPr>
              <w:t>14</w:t>
            </w:r>
          </w:p>
        </w:tc>
        <w:tc>
          <w:tcPr>
            <w:tcW w:w="3480" w:type="dxa"/>
            <w:noWrap/>
            <w:vAlign w:val="bottom"/>
          </w:tcPr>
          <w:p w14:paraId="56011670">
            <w:pPr>
              <w:widowControl/>
              <w:jc w:val="left"/>
              <w:rPr>
                <w:color w:val="000000"/>
                <w:kern w:val="0"/>
                <w:szCs w:val="21"/>
              </w:rPr>
            </w:pPr>
            <w:r>
              <w:rPr>
                <w:color w:val="000000"/>
                <w:kern w:val="0"/>
                <w:szCs w:val="21"/>
              </w:rPr>
              <w:t>2-甲氧基-5-甲基苯胺</w:t>
            </w:r>
          </w:p>
        </w:tc>
        <w:tc>
          <w:tcPr>
            <w:tcW w:w="1160" w:type="dxa"/>
            <w:noWrap/>
            <w:vAlign w:val="bottom"/>
          </w:tcPr>
          <w:p w14:paraId="02C6BBCE">
            <w:pPr>
              <w:widowControl/>
              <w:jc w:val="center"/>
              <w:rPr>
                <w:color w:val="000000"/>
                <w:kern w:val="0"/>
                <w:szCs w:val="21"/>
              </w:rPr>
            </w:pPr>
            <w:r>
              <w:rPr>
                <w:color w:val="000000"/>
                <w:kern w:val="0"/>
                <w:szCs w:val="21"/>
              </w:rPr>
              <w:t>1.0000</w:t>
            </w:r>
          </w:p>
        </w:tc>
        <w:tc>
          <w:tcPr>
            <w:tcW w:w="1301" w:type="dxa"/>
            <w:noWrap/>
            <w:vAlign w:val="bottom"/>
          </w:tcPr>
          <w:p w14:paraId="1D1F7DA5">
            <w:pPr>
              <w:widowControl/>
              <w:jc w:val="center"/>
              <w:rPr>
                <w:color w:val="000000"/>
                <w:kern w:val="0"/>
                <w:szCs w:val="21"/>
              </w:rPr>
            </w:pPr>
            <w:r>
              <w:rPr>
                <w:rFonts w:hint="eastAsia"/>
                <w:color w:val="000000"/>
                <w:kern w:val="0"/>
                <w:szCs w:val="21"/>
              </w:rPr>
              <w:t>2.34</w:t>
            </w:r>
          </w:p>
        </w:tc>
        <w:tc>
          <w:tcPr>
            <w:tcW w:w="1430" w:type="dxa"/>
            <w:noWrap/>
          </w:tcPr>
          <w:p w14:paraId="5C23D212">
            <w:pPr>
              <w:widowControl/>
              <w:jc w:val="center"/>
              <w:rPr>
                <w:color w:val="000000"/>
                <w:kern w:val="0"/>
                <w:szCs w:val="21"/>
              </w:rPr>
            </w:pPr>
            <w:r>
              <w:t>82.14</w:t>
            </w:r>
          </w:p>
        </w:tc>
      </w:tr>
      <w:tr w14:paraId="630F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1043970B">
            <w:pPr>
              <w:widowControl/>
              <w:jc w:val="center"/>
              <w:rPr>
                <w:color w:val="000000"/>
                <w:kern w:val="0"/>
                <w:szCs w:val="21"/>
              </w:rPr>
            </w:pPr>
            <w:r>
              <w:rPr>
                <w:rFonts w:hint="eastAsia"/>
                <w:color w:val="000000"/>
                <w:kern w:val="0"/>
                <w:szCs w:val="21"/>
              </w:rPr>
              <w:t>15</w:t>
            </w:r>
          </w:p>
        </w:tc>
        <w:tc>
          <w:tcPr>
            <w:tcW w:w="3480" w:type="dxa"/>
            <w:noWrap/>
            <w:vAlign w:val="bottom"/>
          </w:tcPr>
          <w:p w14:paraId="3B986086">
            <w:pPr>
              <w:widowControl/>
              <w:jc w:val="left"/>
              <w:rPr>
                <w:color w:val="000000"/>
                <w:kern w:val="0"/>
                <w:szCs w:val="21"/>
              </w:rPr>
            </w:pPr>
            <w:r>
              <w:rPr>
                <w:color w:val="000000"/>
                <w:kern w:val="0"/>
                <w:szCs w:val="21"/>
              </w:rPr>
              <w:t>4，4-亚甲基-二-（2-氯苯胺）</w:t>
            </w:r>
          </w:p>
        </w:tc>
        <w:tc>
          <w:tcPr>
            <w:tcW w:w="1160" w:type="dxa"/>
            <w:noWrap/>
            <w:vAlign w:val="bottom"/>
          </w:tcPr>
          <w:p w14:paraId="5FBBD45D">
            <w:pPr>
              <w:widowControl/>
              <w:jc w:val="center"/>
              <w:rPr>
                <w:color w:val="000000"/>
                <w:kern w:val="0"/>
                <w:szCs w:val="21"/>
              </w:rPr>
            </w:pPr>
            <w:r>
              <w:rPr>
                <w:color w:val="000000"/>
                <w:kern w:val="0"/>
                <w:szCs w:val="21"/>
              </w:rPr>
              <w:t>0.9994</w:t>
            </w:r>
          </w:p>
        </w:tc>
        <w:tc>
          <w:tcPr>
            <w:tcW w:w="1301" w:type="dxa"/>
            <w:noWrap/>
            <w:vAlign w:val="bottom"/>
          </w:tcPr>
          <w:p w14:paraId="43CECBE7">
            <w:pPr>
              <w:widowControl/>
              <w:jc w:val="center"/>
              <w:rPr>
                <w:color w:val="000000"/>
                <w:kern w:val="0"/>
                <w:szCs w:val="21"/>
              </w:rPr>
            </w:pPr>
            <w:r>
              <w:rPr>
                <w:rFonts w:hint="eastAsia"/>
                <w:color w:val="000000"/>
                <w:kern w:val="0"/>
                <w:szCs w:val="21"/>
              </w:rPr>
              <w:t>0.46</w:t>
            </w:r>
          </w:p>
        </w:tc>
        <w:tc>
          <w:tcPr>
            <w:tcW w:w="1430" w:type="dxa"/>
            <w:noWrap/>
          </w:tcPr>
          <w:p w14:paraId="6F7127C5">
            <w:pPr>
              <w:widowControl/>
              <w:jc w:val="center"/>
              <w:rPr>
                <w:color w:val="000000"/>
                <w:kern w:val="0"/>
                <w:szCs w:val="21"/>
              </w:rPr>
            </w:pPr>
            <w:r>
              <w:t>109.24</w:t>
            </w:r>
          </w:p>
        </w:tc>
      </w:tr>
      <w:tr w14:paraId="7A34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66DB2353">
            <w:pPr>
              <w:widowControl/>
              <w:jc w:val="center"/>
              <w:rPr>
                <w:color w:val="000000"/>
                <w:kern w:val="0"/>
                <w:szCs w:val="21"/>
              </w:rPr>
            </w:pPr>
            <w:r>
              <w:rPr>
                <w:rFonts w:hint="eastAsia"/>
                <w:color w:val="000000"/>
                <w:kern w:val="0"/>
                <w:szCs w:val="21"/>
              </w:rPr>
              <w:t>16</w:t>
            </w:r>
          </w:p>
        </w:tc>
        <w:tc>
          <w:tcPr>
            <w:tcW w:w="3480" w:type="dxa"/>
            <w:noWrap/>
            <w:vAlign w:val="bottom"/>
          </w:tcPr>
          <w:p w14:paraId="68E10B36">
            <w:pPr>
              <w:widowControl/>
              <w:jc w:val="left"/>
              <w:rPr>
                <w:color w:val="000000"/>
                <w:kern w:val="0"/>
                <w:szCs w:val="21"/>
              </w:rPr>
            </w:pPr>
            <w:r>
              <w:rPr>
                <w:color w:val="000000"/>
                <w:kern w:val="0"/>
                <w:szCs w:val="21"/>
              </w:rPr>
              <w:t>4，4-二氨基二苯醚</w:t>
            </w:r>
          </w:p>
        </w:tc>
        <w:tc>
          <w:tcPr>
            <w:tcW w:w="1160" w:type="dxa"/>
            <w:noWrap/>
            <w:vAlign w:val="bottom"/>
          </w:tcPr>
          <w:p w14:paraId="1C77F494">
            <w:pPr>
              <w:widowControl/>
              <w:jc w:val="center"/>
              <w:rPr>
                <w:color w:val="000000"/>
                <w:kern w:val="0"/>
                <w:szCs w:val="21"/>
              </w:rPr>
            </w:pPr>
            <w:r>
              <w:rPr>
                <w:color w:val="000000"/>
                <w:kern w:val="0"/>
                <w:szCs w:val="21"/>
              </w:rPr>
              <w:t>0.9995</w:t>
            </w:r>
          </w:p>
        </w:tc>
        <w:tc>
          <w:tcPr>
            <w:tcW w:w="1301" w:type="dxa"/>
            <w:noWrap/>
            <w:vAlign w:val="bottom"/>
          </w:tcPr>
          <w:p w14:paraId="40EEA310">
            <w:pPr>
              <w:widowControl/>
              <w:jc w:val="center"/>
              <w:rPr>
                <w:color w:val="000000"/>
                <w:kern w:val="0"/>
                <w:szCs w:val="21"/>
              </w:rPr>
            </w:pPr>
            <w:r>
              <w:rPr>
                <w:rFonts w:hint="eastAsia"/>
                <w:color w:val="000000"/>
                <w:kern w:val="0"/>
                <w:szCs w:val="21"/>
              </w:rPr>
              <w:t>2.21</w:t>
            </w:r>
          </w:p>
        </w:tc>
        <w:tc>
          <w:tcPr>
            <w:tcW w:w="1430" w:type="dxa"/>
            <w:noWrap/>
          </w:tcPr>
          <w:p w14:paraId="1DF279BA">
            <w:pPr>
              <w:widowControl/>
              <w:jc w:val="center"/>
              <w:rPr>
                <w:color w:val="000000"/>
                <w:kern w:val="0"/>
                <w:szCs w:val="21"/>
              </w:rPr>
            </w:pPr>
            <w:r>
              <w:t>88.07</w:t>
            </w:r>
          </w:p>
        </w:tc>
      </w:tr>
      <w:tr w14:paraId="0E9C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5CD2F9CC">
            <w:pPr>
              <w:widowControl/>
              <w:jc w:val="center"/>
              <w:rPr>
                <w:color w:val="000000"/>
                <w:kern w:val="0"/>
                <w:szCs w:val="21"/>
              </w:rPr>
            </w:pPr>
            <w:r>
              <w:rPr>
                <w:rFonts w:hint="eastAsia"/>
                <w:color w:val="000000"/>
                <w:kern w:val="0"/>
                <w:szCs w:val="21"/>
              </w:rPr>
              <w:t>17</w:t>
            </w:r>
          </w:p>
        </w:tc>
        <w:tc>
          <w:tcPr>
            <w:tcW w:w="3480" w:type="dxa"/>
            <w:noWrap/>
            <w:vAlign w:val="bottom"/>
          </w:tcPr>
          <w:p w14:paraId="4DACF683">
            <w:pPr>
              <w:widowControl/>
              <w:jc w:val="left"/>
              <w:rPr>
                <w:color w:val="000000"/>
                <w:kern w:val="0"/>
                <w:szCs w:val="21"/>
              </w:rPr>
            </w:pPr>
            <w:r>
              <w:rPr>
                <w:color w:val="000000"/>
                <w:kern w:val="0"/>
                <w:szCs w:val="21"/>
              </w:rPr>
              <w:t>4，4-二氨基二苯硫醚</w:t>
            </w:r>
          </w:p>
        </w:tc>
        <w:tc>
          <w:tcPr>
            <w:tcW w:w="1160" w:type="dxa"/>
            <w:noWrap/>
            <w:vAlign w:val="bottom"/>
          </w:tcPr>
          <w:p w14:paraId="7F79DD52">
            <w:pPr>
              <w:widowControl/>
              <w:jc w:val="center"/>
              <w:rPr>
                <w:color w:val="000000"/>
                <w:kern w:val="0"/>
                <w:szCs w:val="21"/>
              </w:rPr>
            </w:pPr>
            <w:r>
              <w:rPr>
                <w:color w:val="000000"/>
                <w:kern w:val="0"/>
                <w:szCs w:val="21"/>
              </w:rPr>
              <w:t>0.9993</w:t>
            </w:r>
          </w:p>
        </w:tc>
        <w:tc>
          <w:tcPr>
            <w:tcW w:w="1301" w:type="dxa"/>
            <w:noWrap/>
            <w:vAlign w:val="bottom"/>
          </w:tcPr>
          <w:p w14:paraId="012C9BE9">
            <w:pPr>
              <w:widowControl/>
              <w:jc w:val="center"/>
              <w:rPr>
                <w:color w:val="000000"/>
                <w:kern w:val="0"/>
                <w:szCs w:val="21"/>
              </w:rPr>
            </w:pPr>
            <w:r>
              <w:rPr>
                <w:rFonts w:hint="eastAsia"/>
                <w:color w:val="000000"/>
                <w:kern w:val="0"/>
                <w:szCs w:val="21"/>
              </w:rPr>
              <w:t>1.74</w:t>
            </w:r>
          </w:p>
        </w:tc>
        <w:tc>
          <w:tcPr>
            <w:tcW w:w="1430" w:type="dxa"/>
            <w:noWrap/>
          </w:tcPr>
          <w:p w14:paraId="2765FCB5">
            <w:pPr>
              <w:widowControl/>
              <w:jc w:val="center"/>
              <w:rPr>
                <w:color w:val="000000"/>
                <w:kern w:val="0"/>
                <w:szCs w:val="21"/>
              </w:rPr>
            </w:pPr>
            <w:r>
              <w:t>101.47</w:t>
            </w:r>
          </w:p>
        </w:tc>
      </w:tr>
      <w:tr w14:paraId="34DA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579B4D34">
            <w:pPr>
              <w:widowControl/>
              <w:jc w:val="center"/>
              <w:rPr>
                <w:color w:val="000000"/>
                <w:kern w:val="0"/>
                <w:szCs w:val="21"/>
              </w:rPr>
            </w:pPr>
            <w:r>
              <w:rPr>
                <w:rFonts w:hint="eastAsia"/>
                <w:color w:val="000000"/>
                <w:kern w:val="0"/>
                <w:szCs w:val="21"/>
              </w:rPr>
              <w:t>18</w:t>
            </w:r>
          </w:p>
        </w:tc>
        <w:tc>
          <w:tcPr>
            <w:tcW w:w="3480" w:type="dxa"/>
            <w:noWrap/>
            <w:vAlign w:val="bottom"/>
          </w:tcPr>
          <w:p w14:paraId="2342B1FA">
            <w:pPr>
              <w:widowControl/>
              <w:jc w:val="left"/>
              <w:rPr>
                <w:color w:val="000000"/>
                <w:kern w:val="0"/>
                <w:szCs w:val="21"/>
              </w:rPr>
            </w:pPr>
            <w:r>
              <w:rPr>
                <w:color w:val="000000"/>
                <w:kern w:val="0"/>
                <w:szCs w:val="21"/>
              </w:rPr>
              <w:t>邻甲苯胺</w:t>
            </w:r>
          </w:p>
        </w:tc>
        <w:tc>
          <w:tcPr>
            <w:tcW w:w="1160" w:type="dxa"/>
            <w:noWrap/>
            <w:vAlign w:val="bottom"/>
          </w:tcPr>
          <w:p w14:paraId="50B27B87">
            <w:pPr>
              <w:widowControl/>
              <w:jc w:val="center"/>
              <w:rPr>
                <w:color w:val="000000"/>
                <w:kern w:val="0"/>
                <w:szCs w:val="21"/>
              </w:rPr>
            </w:pPr>
            <w:r>
              <w:rPr>
                <w:color w:val="000000"/>
                <w:kern w:val="0"/>
                <w:szCs w:val="21"/>
              </w:rPr>
              <w:t>0.9998</w:t>
            </w:r>
          </w:p>
        </w:tc>
        <w:tc>
          <w:tcPr>
            <w:tcW w:w="1301" w:type="dxa"/>
            <w:noWrap/>
            <w:vAlign w:val="bottom"/>
          </w:tcPr>
          <w:p w14:paraId="6A39D8F9">
            <w:pPr>
              <w:widowControl/>
              <w:jc w:val="center"/>
              <w:rPr>
                <w:color w:val="000000"/>
                <w:kern w:val="0"/>
                <w:szCs w:val="21"/>
              </w:rPr>
            </w:pPr>
            <w:r>
              <w:rPr>
                <w:rFonts w:hint="eastAsia"/>
                <w:color w:val="000000"/>
                <w:kern w:val="0"/>
                <w:szCs w:val="21"/>
              </w:rPr>
              <w:t>0.97</w:t>
            </w:r>
          </w:p>
        </w:tc>
        <w:tc>
          <w:tcPr>
            <w:tcW w:w="1430" w:type="dxa"/>
            <w:noWrap/>
          </w:tcPr>
          <w:p w14:paraId="4845B268">
            <w:pPr>
              <w:widowControl/>
              <w:jc w:val="center"/>
              <w:rPr>
                <w:color w:val="000000"/>
                <w:kern w:val="0"/>
                <w:szCs w:val="21"/>
              </w:rPr>
            </w:pPr>
            <w:r>
              <w:t>88.97</w:t>
            </w:r>
          </w:p>
        </w:tc>
      </w:tr>
      <w:tr w14:paraId="0E67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6A0D2F76">
            <w:pPr>
              <w:widowControl/>
              <w:jc w:val="center"/>
              <w:rPr>
                <w:color w:val="000000"/>
                <w:kern w:val="0"/>
                <w:szCs w:val="21"/>
              </w:rPr>
            </w:pPr>
            <w:r>
              <w:rPr>
                <w:rFonts w:hint="eastAsia"/>
                <w:color w:val="000000"/>
                <w:kern w:val="0"/>
                <w:szCs w:val="21"/>
              </w:rPr>
              <w:t>19</w:t>
            </w:r>
          </w:p>
        </w:tc>
        <w:tc>
          <w:tcPr>
            <w:tcW w:w="3480" w:type="dxa"/>
            <w:noWrap/>
            <w:vAlign w:val="bottom"/>
          </w:tcPr>
          <w:p w14:paraId="2D2A050A">
            <w:pPr>
              <w:widowControl/>
              <w:jc w:val="left"/>
              <w:rPr>
                <w:color w:val="000000"/>
                <w:kern w:val="0"/>
                <w:szCs w:val="21"/>
              </w:rPr>
            </w:pPr>
            <w:r>
              <w:rPr>
                <w:color w:val="000000"/>
                <w:kern w:val="0"/>
                <w:szCs w:val="21"/>
              </w:rPr>
              <w:t>2，4-二氨基甲苯</w:t>
            </w:r>
          </w:p>
        </w:tc>
        <w:tc>
          <w:tcPr>
            <w:tcW w:w="1160" w:type="dxa"/>
            <w:noWrap/>
            <w:vAlign w:val="bottom"/>
          </w:tcPr>
          <w:p w14:paraId="401022AE">
            <w:pPr>
              <w:widowControl/>
              <w:jc w:val="center"/>
              <w:rPr>
                <w:color w:val="000000"/>
                <w:kern w:val="0"/>
                <w:szCs w:val="21"/>
              </w:rPr>
            </w:pPr>
            <w:r>
              <w:rPr>
                <w:color w:val="000000"/>
                <w:kern w:val="0"/>
                <w:szCs w:val="21"/>
              </w:rPr>
              <w:t>0.9992</w:t>
            </w:r>
          </w:p>
        </w:tc>
        <w:tc>
          <w:tcPr>
            <w:tcW w:w="1301" w:type="dxa"/>
            <w:noWrap/>
            <w:vAlign w:val="bottom"/>
          </w:tcPr>
          <w:p w14:paraId="460F4314">
            <w:pPr>
              <w:widowControl/>
              <w:jc w:val="center"/>
              <w:rPr>
                <w:color w:val="000000"/>
                <w:kern w:val="0"/>
                <w:szCs w:val="21"/>
              </w:rPr>
            </w:pPr>
            <w:r>
              <w:rPr>
                <w:rFonts w:hint="eastAsia"/>
                <w:color w:val="000000"/>
                <w:kern w:val="0"/>
                <w:szCs w:val="21"/>
              </w:rPr>
              <w:t>1.38</w:t>
            </w:r>
          </w:p>
        </w:tc>
        <w:tc>
          <w:tcPr>
            <w:tcW w:w="1430" w:type="dxa"/>
            <w:noWrap/>
          </w:tcPr>
          <w:p w14:paraId="528D363F">
            <w:pPr>
              <w:widowControl/>
              <w:jc w:val="center"/>
              <w:rPr>
                <w:color w:val="000000"/>
                <w:kern w:val="0"/>
                <w:szCs w:val="21"/>
              </w:rPr>
            </w:pPr>
            <w:r>
              <w:t>84.58</w:t>
            </w:r>
          </w:p>
        </w:tc>
      </w:tr>
      <w:tr w14:paraId="615F3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0F79350C">
            <w:pPr>
              <w:widowControl/>
              <w:jc w:val="center"/>
              <w:rPr>
                <w:color w:val="000000"/>
                <w:kern w:val="0"/>
                <w:szCs w:val="21"/>
              </w:rPr>
            </w:pPr>
            <w:r>
              <w:rPr>
                <w:rFonts w:hint="eastAsia"/>
                <w:color w:val="000000"/>
                <w:kern w:val="0"/>
                <w:szCs w:val="21"/>
              </w:rPr>
              <w:t>20</w:t>
            </w:r>
          </w:p>
        </w:tc>
        <w:tc>
          <w:tcPr>
            <w:tcW w:w="3480" w:type="dxa"/>
            <w:noWrap/>
            <w:vAlign w:val="bottom"/>
          </w:tcPr>
          <w:p w14:paraId="20E62C1C">
            <w:pPr>
              <w:widowControl/>
              <w:jc w:val="left"/>
              <w:rPr>
                <w:color w:val="000000"/>
                <w:kern w:val="0"/>
                <w:szCs w:val="21"/>
              </w:rPr>
            </w:pPr>
            <w:r>
              <w:rPr>
                <w:color w:val="000000"/>
                <w:kern w:val="0"/>
                <w:szCs w:val="21"/>
              </w:rPr>
              <w:t>2，4，5-三甲基苯胺</w:t>
            </w:r>
          </w:p>
        </w:tc>
        <w:tc>
          <w:tcPr>
            <w:tcW w:w="1160" w:type="dxa"/>
            <w:noWrap/>
            <w:vAlign w:val="bottom"/>
          </w:tcPr>
          <w:p w14:paraId="3936F4C1">
            <w:pPr>
              <w:widowControl/>
              <w:jc w:val="center"/>
              <w:rPr>
                <w:color w:val="000000"/>
                <w:kern w:val="0"/>
                <w:szCs w:val="21"/>
              </w:rPr>
            </w:pPr>
            <w:r>
              <w:rPr>
                <w:color w:val="000000"/>
                <w:kern w:val="0"/>
                <w:szCs w:val="21"/>
              </w:rPr>
              <w:t>0.9994</w:t>
            </w:r>
          </w:p>
        </w:tc>
        <w:tc>
          <w:tcPr>
            <w:tcW w:w="1301" w:type="dxa"/>
            <w:noWrap/>
            <w:vAlign w:val="bottom"/>
          </w:tcPr>
          <w:p w14:paraId="0C586E00">
            <w:pPr>
              <w:widowControl/>
              <w:jc w:val="center"/>
              <w:rPr>
                <w:color w:val="000000"/>
                <w:kern w:val="0"/>
                <w:szCs w:val="21"/>
              </w:rPr>
            </w:pPr>
            <w:r>
              <w:rPr>
                <w:rFonts w:hint="eastAsia"/>
                <w:color w:val="000000"/>
                <w:kern w:val="0"/>
                <w:szCs w:val="21"/>
              </w:rPr>
              <w:t>1.67</w:t>
            </w:r>
          </w:p>
        </w:tc>
        <w:tc>
          <w:tcPr>
            <w:tcW w:w="1430" w:type="dxa"/>
            <w:noWrap/>
          </w:tcPr>
          <w:p w14:paraId="3780C054">
            <w:pPr>
              <w:widowControl/>
              <w:jc w:val="center"/>
              <w:rPr>
                <w:color w:val="000000"/>
                <w:kern w:val="0"/>
                <w:szCs w:val="21"/>
              </w:rPr>
            </w:pPr>
            <w:r>
              <w:t>78.86</w:t>
            </w:r>
          </w:p>
        </w:tc>
      </w:tr>
      <w:tr w14:paraId="0931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46AA3FFB">
            <w:pPr>
              <w:widowControl/>
              <w:jc w:val="center"/>
              <w:rPr>
                <w:color w:val="000000"/>
                <w:kern w:val="0"/>
                <w:szCs w:val="21"/>
              </w:rPr>
            </w:pPr>
            <w:r>
              <w:rPr>
                <w:rFonts w:hint="eastAsia"/>
                <w:color w:val="000000"/>
                <w:kern w:val="0"/>
                <w:szCs w:val="21"/>
              </w:rPr>
              <w:t>21</w:t>
            </w:r>
          </w:p>
        </w:tc>
        <w:tc>
          <w:tcPr>
            <w:tcW w:w="3480" w:type="dxa"/>
            <w:noWrap/>
            <w:vAlign w:val="bottom"/>
          </w:tcPr>
          <w:p w14:paraId="1CE2D851">
            <w:pPr>
              <w:widowControl/>
              <w:jc w:val="left"/>
              <w:rPr>
                <w:color w:val="000000"/>
                <w:kern w:val="0"/>
                <w:szCs w:val="21"/>
              </w:rPr>
            </w:pPr>
            <w:r>
              <w:rPr>
                <w:color w:val="000000"/>
                <w:kern w:val="0"/>
                <w:szCs w:val="21"/>
              </w:rPr>
              <w:t>邻氨基苯甲醚</w:t>
            </w:r>
          </w:p>
        </w:tc>
        <w:tc>
          <w:tcPr>
            <w:tcW w:w="1160" w:type="dxa"/>
            <w:noWrap/>
            <w:vAlign w:val="bottom"/>
          </w:tcPr>
          <w:p w14:paraId="459168D4">
            <w:pPr>
              <w:widowControl/>
              <w:jc w:val="center"/>
              <w:rPr>
                <w:color w:val="000000"/>
                <w:kern w:val="0"/>
                <w:szCs w:val="21"/>
              </w:rPr>
            </w:pPr>
            <w:r>
              <w:rPr>
                <w:color w:val="000000"/>
                <w:kern w:val="0"/>
                <w:szCs w:val="21"/>
              </w:rPr>
              <w:t>0.9998</w:t>
            </w:r>
          </w:p>
        </w:tc>
        <w:tc>
          <w:tcPr>
            <w:tcW w:w="1301" w:type="dxa"/>
            <w:noWrap/>
            <w:vAlign w:val="bottom"/>
          </w:tcPr>
          <w:p w14:paraId="766F58D7">
            <w:pPr>
              <w:widowControl/>
              <w:jc w:val="center"/>
              <w:rPr>
                <w:color w:val="000000"/>
                <w:kern w:val="0"/>
                <w:szCs w:val="21"/>
              </w:rPr>
            </w:pPr>
            <w:r>
              <w:rPr>
                <w:rFonts w:hint="eastAsia"/>
                <w:color w:val="000000"/>
                <w:kern w:val="0"/>
                <w:szCs w:val="21"/>
              </w:rPr>
              <w:t>3.86</w:t>
            </w:r>
          </w:p>
        </w:tc>
        <w:tc>
          <w:tcPr>
            <w:tcW w:w="1430" w:type="dxa"/>
            <w:noWrap/>
          </w:tcPr>
          <w:p w14:paraId="28B0296B">
            <w:pPr>
              <w:widowControl/>
              <w:jc w:val="center"/>
              <w:rPr>
                <w:color w:val="000000"/>
                <w:kern w:val="0"/>
                <w:szCs w:val="21"/>
              </w:rPr>
            </w:pPr>
            <w:r>
              <w:t>77.15</w:t>
            </w:r>
          </w:p>
        </w:tc>
      </w:tr>
      <w:tr w14:paraId="6644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24AC0757">
            <w:pPr>
              <w:widowControl/>
              <w:jc w:val="center"/>
              <w:rPr>
                <w:color w:val="000000"/>
                <w:kern w:val="0"/>
                <w:szCs w:val="21"/>
              </w:rPr>
            </w:pPr>
            <w:r>
              <w:rPr>
                <w:rFonts w:hint="eastAsia"/>
                <w:color w:val="000000"/>
                <w:kern w:val="0"/>
                <w:szCs w:val="21"/>
              </w:rPr>
              <w:t>22</w:t>
            </w:r>
          </w:p>
        </w:tc>
        <w:tc>
          <w:tcPr>
            <w:tcW w:w="3480" w:type="dxa"/>
            <w:noWrap/>
            <w:vAlign w:val="bottom"/>
          </w:tcPr>
          <w:p w14:paraId="507A9FD5">
            <w:pPr>
              <w:widowControl/>
              <w:jc w:val="left"/>
              <w:rPr>
                <w:color w:val="000000"/>
                <w:kern w:val="0"/>
                <w:szCs w:val="21"/>
              </w:rPr>
            </w:pPr>
            <w:r>
              <w:rPr>
                <w:color w:val="000000"/>
                <w:kern w:val="0"/>
                <w:szCs w:val="21"/>
              </w:rPr>
              <w:t>4-氨基偶氮苯</w:t>
            </w:r>
          </w:p>
        </w:tc>
        <w:tc>
          <w:tcPr>
            <w:tcW w:w="1160" w:type="dxa"/>
            <w:noWrap/>
            <w:vAlign w:val="bottom"/>
          </w:tcPr>
          <w:p w14:paraId="0B527C62">
            <w:pPr>
              <w:widowControl/>
              <w:jc w:val="center"/>
              <w:rPr>
                <w:color w:val="000000"/>
                <w:kern w:val="0"/>
                <w:szCs w:val="21"/>
              </w:rPr>
            </w:pPr>
            <w:r>
              <w:rPr>
                <w:color w:val="000000"/>
                <w:kern w:val="0"/>
                <w:szCs w:val="21"/>
              </w:rPr>
              <w:t>0.9998</w:t>
            </w:r>
          </w:p>
        </w:tc>
        <w:tc>
          <w:tcPr>
            <w:tcW w:w="1301" w:type="dxa"/>
            <w:noWrap/>
            <w:vAlign w:val="bottom"/>
          </w:tcPr>
          <w:p w14:paraId="767A7272">
            <w:pPr>
              <w:widowControl/>
              <w:jc w:val="center"/>
              <w:rPr>
                <w:color w:val="000000"/>
                <w:kern w:val="0"/>
                <w:szCs w:val="21"/>
              </w:rPr>
            </w:pPr>
            <w:r>
              <w:rPr>
                <w:rFonts w:hint="eastAsia"/>
                <w:color w:val="000000"/>
                <w:kern w:val="0"/>
                <w:szCs w:val="21"/>
              </w:rPr>
              <w:t>2.04</w:t>
            </w:r>
          </w:p>
        </w:tc>
        <w:tc>
          <w:tcPr>
            <w:tcW w:w="1430" w:type="dxa"/>
            <w:noWrap/>
          </w:tcPr>
          <w:p w14:paraId="52857E1E">
            <w:pPr>
              <w:widowControl/>
              <w:jc w:val="center"/>
              <w:rPr>
                <w:color w:val="FF0000"/>
                <w:kern w:val="0"/>
                <w:szCs w:val="21"/>
              </w:rPr>
            </w:pPr>
            <w:r>
              <w:rPr>
                <w:rFonts w:hint="eastAsia"/>
              </w:rPr>
              <w:t>/</w:t>
            </w:r>
          </w:p>
        </w:tc>
      </w:tr>
      <w:tr w14:paraId="126A3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4D773F7C">
            <w:pPr>
              <w:widowControl/>
              <w:jc w:val="center"/>
              <w:rPr>
                <w:color w:val="000000"/>
                <w:kern w:val="0"/>
                <w:szCs w:val="21"/>
              </w:rPr>
            </w:pPr>
            <w:r>
              <w:rPr>
                <w:rFonts w:hint="eastAsia"/>
                <w:color w:val="000000"/>
                <w:kern w:val="0"/>
                <w:szCs w:val="21"/>
              </w:rPr>
              <w:t>23</w:t>
            </w:r>
          </w:p>
        </w:tc>
        <w:tc>
          <w:tcPr>
            <w:tcW w:w="3480" w:type="dxa"/>
            <w:noWrap/>
            <w:vAlign w:val="bottom"/>
          </w:tcPr>
          <w:p w14:paraId="5F41FFFC">
            <w:pPr>
              <w:widowControl/>
              <w:jc w:val="left"/>
              <w:rPr>
                <w:color w:val="000000"/>
                <w:kern w:val="0"/>
                <w:szCs w:val="21"/>
              </w:rPr>
            </w:pPr>
            <w:r>
              <w:rPr>
                <w:color w:val="000000"/>
                <w:kern w:val="0"/>
                <w:szCs w:val="21"/>
              </w:rPr>
              <w:t>2，4-二甲基苯胺</w:t>
            </w:r>
          </w:p>
        </w:tc>
        <w:tc>
          <w:tcPr>
            <w:tcW w:w="1160" w:type="dxa"/>
            <w:noWrap/>
            <w:vAlign w:val="bottom"/>
          </w:tcPr>
          <w:p w14:paraId="02064F87">
            <w:pPr>
              <w:widowControl/>
              <w:jc w:val="center"/>
              <w:rPr>
                <w:color w:val="000000"/>
                <w:kern w:val="0"/>
                <w:szCs w:val="21"/>
              </w:rPr>
            </w:pPr>
            <w:r>
              <w:rPr>
                <w:color w:val="000000"/>
                <w:kern w:val="0"/>
                <w:szCs w:val="21"/>
              </w:rPr>
              <w:t>0.9999</w:t>
            </w:r>
          </w:p>
        </w:tc>
        <w:tc>
          <w:tcPr>
            <w:tcW w:w="1301" w:type="dxa"/>
            <w:noWrap/>
            <w:vAlign w:val="bottom"/>
          </w:tcPr>
          <w:p w14:paraId="47258D83">
            <w:pPr>
              <w:widowControl/>
              <w:jc w:val="center"/>
              <w:rPr>
                <w:color w:val="000000"/>
                <w:kern w:val="0"/>
                <w:szCs w:val="21"/>
              </w:rPr>
            </w:pPr>
            <w:r>
              <w:rPr>
                <w:rFonts w:hint="eastAsia"/>
                <w:color w:val="000000"/>
                <w:kern w:val="0"/>
                <w:szCs w:val="21"/>
              </w:rPr>
              <w:t>0.96</w:t>
            </w:r>
          </w:p>
        </w:tc>
        <w:tc>
          <w:tcPr>
            <w:tcW w:w="1430" w:type="dxa"/>
            <w:noWrap/>
          </w:tcPr>
          <w:p w14:paraId="06B2BF86">
            <w:pPr>
              <w:widowControl/>
              <w:jc w:val="center"/>
              <w:rPr>
                <w:color w:val="000000"/>
                <w:kern w:val="0"/>
                <w:szCs w:val="21"/>
              </w:rPr>
            </w:pPr>
            <w:r>
              <w:t>74.89</w:t>
            </w:r>
          </w:p>
        </w:tc>
      </w:tr>
      <w:tr w14:paraId="28DF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004D1DE5">
            <w:pPr>
              <w:widowControl/>
              <w:jc w:val="center"/>
              <w:rPr>
                <w:color w:val="000000"/>
                <w:kern w:val="0"/>
                <w:szCs w:val="21"/>
              </w:rPr>
            </w:pPr>
            <w:r>
              <w:rPr>
                <w:rFonts w:hint="eastAsia"/>
                <w:color w:val="000000"/>
                <w:kern w:val="0"/>
                <w:szCs w:val="21"/>
              </w:rPr>
              <w:t>24</w:t>
            </w:r>
          </w:p>
        </w:tc>
        <w:tc>
          <w:tcPr>
            <w:tcW w:w="3480" w:type="dxa"/>
            <w:noWrap/>
            <w:vAlign w:val="bottom"/>
          </w:tcPr>
          <w:p w14:paraId="78D3B300">
            <w:pPr>
              <w:widowControl/>
              <w:jc w:val="left"/>
              <w:rPr>
                <w:color w:val="000000"/>
                <w:kern w:val="0"/>
                <w:szCs w:val="21"/>
              </w:rPr>
            </w:pPr>
            <w:r>
              <w:rPr>
                <w:rFonts w:hint="eastAsia"/>
                <w:color w:val="000000"/>
                <w:kern w:val="0"/>
                <w:szCs w:val="21"/>
              </w:rPr>
              <w:t>2</w:t>
            </w:r>
            <w:r>
              <w:rPr>
                <w:color w:val="000000"/>
                <w:kern w:val="0"/>
                <w:szCs w:val="21"/>
              </w:rPr>
              <w:t>，</w:t>
            </w:r>
            <w:r>
              <w:rPr>
                <w:rFonts w:hint="eastAsia"/>
                <w:color w:val="000000"/>
                <w:kern w:val="0"/>
                <w:szCs w:val="21"/>
              </w:rPr>
              <w:t>6</w:t>
            </w:r>
            <w:r>
              <w:rPr>
                <w:color w:val="000000"/>
                <w:kern w:val="0"/>
                <w:szCs w:val="21"/>
              </w:rPr>
              <w:t>-二甲基苯胺</w:t>
            </w:r>
          </w:p>
        </w:tc>
        <w:tc>
          <w:tcPr>
            <w:tcW w:w="1160" w:type="dxa"/>
            <w:noWrap/>
            <w:vAlign w:val="bottom"/>
          </w:tcPr>
          <w:p w14:paraId="6C8703C1">
            <w:pPr>
              <w:widowControl/>
              <w:jc w:val="center"/>
              <w:rPr>
                <w:color w:val="000000"/>
                <w:kern w:val="0"/>
                <w:szCs w:val="21"/>
              </w:rPr>
            </w:pPr>
            <w:r>
              <w:rPr>
                <w:rFonts w:hint="eastAsia"/>
                <w:color w:val="000000"/>
                <w:kern w:val="0"/>
                <w:szCs w:val="21"/>
              </w:rPr>
              <w:t>0.9996</w:t>
            </w:r>
          </w:p>
        </w:tc>
        <w:tc>
          <w:tcPr>
            <w:tcW w:w="1301" w:type="dxa"/>
            <w:noWrap/>
            <w:vAlign w:val="bottom"/>
          </w:tcPr>
          <w:p w14:paraId="12A7ED97">
            <w:pPr>
              <w:widowControl/>
              <w:jc w:val="center"/>
              <w:rPr>
                <w:color w:val="000000"/>
                <w:kern w:val="0"/>
                <w:szCs w:val="21"/>
              </w:rPr>
            </w:pPr>
            <w:r>
              <w:rPr>
                <w:rFonts w:hint="eastAsia"/>
                <w:color w:val="000000"/>
                <w:kern w:val="0"/>
                <w:szCs w:val="21"/>
              </w:rPr>
              <w:t>1.64</w:t>
            </w:r>
          </w:p>
        </w:tc>
        <w:tc>
          <w:tcPr>
            <w:tcW w:w="1430" w:type="dxa"/>
            <w:noWrap/>
          </w:tcPr>
          <w:p w14:paraId="4F5271AD">
            <w:pPr>
              <w:widowControl/>
              <w:jc w:val="center"/>
            </w:pPr>
            <w:r>
              <w:rPr>
                <w:rFonts w:hint="eastAsia"/>
              </w:rPr>
              <w:t>67.45</w:t>
            </w:r>
          </w:p>
        </w:tc>
      </w:tr>
      <w:tr w14:paraId="0A93F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4418272C">
            <w:pPr>
              <w:widowControl/>
              <w:jc w:val="center"/>
              <w:rPr>
                <w:color w:val="000000"/>
                <w:kern w:val="0"/>
                <w:szCs w:val="21"/>
              </w:rPr>
            </w:pPr>
            <w:r>
              <w:rPr>
                <w:rFonts w:hint="eastAsia"/>
                <w:color w:val="000000"/>
                <w:kern w:val="0"/>
                <w:szCs w:val="21"/>
              </w:rPr>
              <w:t>25</w:t>
            </w:r>
          </w:p>
        </w:tc>
        <w:tc>
          <w:tcPr>
            <w:tcW w:w="3480" w:type="dxa"/>
            <w:noWrap/>
            <w:vAlign w:val="bottom"/>
          </w:tcPr>
          <w:p w14:paraId="60395477">
            <w:pPr>
              <w:widowControl/>
              <w:jc w:val="left"/>
              <w:rPr>
                <w:color w:val="000000"/>
                <w:kern w:val="0"/>
                <w:szCs w:val="21"/>
              </w:rPr>
            </w:pPr>
            <w:r>
              <w:rPr>
                <w:color w:val="000000"/>
                <w:kern w:val="0"/>
                <w:szCs w:val="21"/>
              </w:rPr>
              <w:t>苯胺</w:t>
            </w:r>
          </w:p>
        </w:tc>
        <w:tc>
          <w:tcPr>
            <w:tcW w:w="1160" w:type="dxa"/>
            <w:noWrap/>
            <w:vAlign w:val="bottom"/>
          </w:tcPr>
          <w:p w14:paraId="126A4714">
            <w:pPr>
              <w:widowControl/>
              <w:jc w:val="center"/>
              <w:rPr>
                <w:color w:val="000000"/>
                <w:kern w:val="0"/>
                <w:szCs w:val="21"/>
              </w:rPr>
            </w:pPr>
            <w:r>
              <w:rPr>
                <w:color w:val="000000"/>
                <w:kern w:val="0"/>
                <w:szCs w:val="21"/>
              </w:rPr>
              <w:t>0.9991</w:t>
            </w:r>
          </w:p>
        </w:tc>
        <w:tc>
          <w:tcPr>
            <w:tcW w:w="1301" w:type="dxa"/>
            <w:noWrap/>
            <w:vAlign w:val="bottom"/>
          </w:tcPr>
          <w:p w14:paraId="123588AF">
            <w:pPr>
              <w:widowControl/>
              <w:jc w:val="center"/>
              <w:rPr>
                <w:color w:val="000000"/>
                <w:kern w:val="0"/>
                <w:szCs w:val="21"/>
              </w:rPr>
            </w:pPr>
            <w:r>
              <w:rPr>
                <w:rFonts w:hint="eastAsia"/>
                <w:color w:val="000000"/>
                <w:kern w:val="0"/>
                <w:szCs w:val="21"/>
              </w:rPr>
              <w:t>1.57</w:t>
            </w:r>
          </w:p>
        </w:tc>
        <w:tc>
          <w:tcPr>
            <w:tcW w:w="1430" w:type="dxa"/>
            <w:noWrap/>
          </w:tcPr>
          <w:p w14:paraId="2AC960D1">
            <w:pPr>
              <w:widowControl/>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77.75</w:t>
            </w:r>
          </w:p>
        </w:tc>
      </w:tr>
      <w:tr w14:paraId="7611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25" w:type="dxa"/>
          </w:tcPr>
          <w:p w14:paraId="3ACF44CA">
            <w:pPr>
              <w:widowControl/>
              <w:jc w:val="center"/>
              <w:rPr>
                <w:color w:val="000000"/>
                <w:kern w:val="0"/>
                <w:szCs w:val="21"/>
              </w:rPr>
            </w:pPr>
            <w:r>
              <w:rPr>
                <w:rFonts w:hint="eastAsia"/>
                <w:color w:val="000000"/>
                <w:kern w:val="0"/>
                <w:szCs w:val="21"/>
              </w:rPr>
              <w:t>26</w:t>
            </w:r>
          </w:p>
        </w:tc>
        <w:tc>
          <w:tcPr>
            <w:tcW w:w="3480" w:type="dxa"/>
            <w:noWrap/>
            <w:vAlign w:val="bottom"/>
          </w:tcPr>
          <w:p w14:paraId="6894DDEA">
            <w:pPr>
              <w:widowControl/>
              <w:jc w:val="left"/>
              <w:rPr>
                <w:color w:val="000000"/>
                <w:kern w:val="0"/>
                <w:szCs w:val="21"/>
              </w:rPr>
            </w:pPr>
            <w:r>
              <w:rPr>
                <w:color w:val="000000"/>
                <w:kern w:val="0"/>
                <w:szCs w:val="21"/>
              </w:rPr>
              <w:t>1，4-苯二胺</w:t>
            </w:r>
          </w:p>
        </w:tc>
        <w:tc>
          <w:tcPr>
            <w:tcW w:w="1160" w:type="dxa"/>
            <w:noWrap/>
            <w:vAlign w:val="bottom"/>
          </w:tcPr>
          <w:p w14:paraId="32123CB1">
            <w:pPr>
              <w:widowControl/>
              <w:jc w:val="center"/>
              <w:rPr>
                <w:color w:val="000000"/>
                <w:kern w:val="0"/>
                <w:szCs w:val="21"/>
              </w:rPr>
            </w:pPr>
            <w:r>
              <w:rPr>
                <w:color w:val="000000"/>
                <w:kern w:val="0"/>
                <w:szCs w:val="21"/>
              </w:rPr>
              <w:t>0.9993</w:t>
            </w:r>
          </w:p>
        </w:tc>
        <w:tc>
          <w:tcPr>
            <w:tcW w:w="1301" w:type="dxa"/>
            <w:noWrap/>
            <w:vAlign w:val="bottom"/>
          </w:tcPr>
          <w:p w14:paraId="00AF0E3F">
            <w:pPr>
              <w:widowControl/>
              <w:jc w:val="center"/>
              <w:rPr>
                <w:color w:val="000000"/>
                <w:kern w:val="0"/>
                <w:szCs w:val="21"/>
              </w:rPr>
            </w:pPr>
            <w:r>
              <w:rPr>
                <w:rFonts w:hint="eastAsia"/>
                <w:color w:val="000000"/>
                <w:kern w:val="0"/>
                <w:szCs w:val="21"/>
              </w:rPr>
              <w:t>1.61</w:t>
            </w:r>
          </w:p>
        </w:tc>
        <w:tc>
          <w:tcPr>
            <w:tcW w:w="1430" w:type="dxa"/>
            <w:noWrap/>
          </w:tcPr>
          <w:p w14:paraId="56C2465A">
            <w:pPr>
              <w:widowControl/>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r>
    </w:tbl>
    <w:p w14:paraId="2A1AC46C">
      <w:pPr>
        <w:pStyle w:val="22"/>
        <w:widowControl/>
        <w:ind w:left="567" w:firstLine="0" w:firstLineChars="0"/>
        <w:jc w:val="left"/>
        <w:rPr>
          <w:szCs w:val="21"/>
        </w:rPr>
      </w:pPr>
    </w:p>
    <w:p w14:paraId="5C06D9F7">
      <w:pPr>
        <w:pStyle w:val="40"/>
        <w:numPr>
          <w:ilvl w:val="1"/>
          <w:numId w:val="9"/>
        </w:numPr>
        <w:spacing w:before="156" w:after="156"/>
        <w:rPr>
          <w:rFonts w:ascii="Times New Roman" w:eastAsia="宋体"/>
          <w:szCs w:val="21"/>
        </w:rPr>
      </w:pPr>
      <w:r>
        <w:rPr>
          <w:rFonts w:hint="eastAsia" w:ascii="Times New Roman" w:eastAsia="宋体"/>
          <w:szCs w:val="21"/>
        </w:rPr>
        <w:t>高效液相色谱</w:t>
      </w:r>
      <w:r>
        <w:rPr>
          <w:rFonts w:ascii="Times New Roman" w:eastAsia="宋体"/>
          <w:szCs w:val="21"/>
        </w:rPr>
        <w:t>法(</w:t>
      </w:r>
      <w:r>
        <w:rPr>
          <w:rFonts w:hint="eastAsia" w:ascii="Times New Roman" w:eastAsia="宋体"/>
          <w:szCs w:val="21"/>
        </w:rPr>
        <w:t>HPLC</w:t>
      </w:r>
      <w:r>
        <w:rPr>
          <w:rFonts w:ascii="Times New Roman" w:eastAsia="宋体"/>
          <w:szCs w:val="21"/>
        </w:rPr>
        <w:t>)</w:t>
      </w:r>
    </w:p>
    <w:p w14:paraId="4E5D356B">
      <w:pPr>
        <w:pStyle w:val="22"/>
        <w:widowControl/>
        <w:spacing w:line="360" w:lineRule="auto"/>
        <w:ind w:left="567" w:firstLine="273" w:firstLineChars="0"/>
        <w:rPr>
          <w:szCs w:val="21"/>
        </w:rPr>
      </w:pPr>
      <w:r>
        <w:rPr>
          <w:szCs w:val="21"/>
        </w:rPr>
        <w:t>该方法各芳香胺标准曲线的决定系数（R</w:t>
      </w:r>
      <w:r>
        <w:rPr>
          <w:szCs w:val="21"/>
          <w:vertAlign w:val="superscript"/>
        </w:rPr>
        <w:t>2</w:t>
      </w:r>
      <w:r>
        <w:rPr>
          <w:szCs w:val="21"/>
        </w:rPr>
        <w:t>）、方法精密度</w:t>
      </w:r>
      <w:r>
        <w:rPr>
          <w:rFonts w:hint="eastAsia"/>
          <w:szCs w:val="21"/>
        </w:rPr>
        <w:t>（RSD）</w:t>
      </w:r>
      <w:r>
        <w:rPr>
          <w:szCs w:val="21"/>
        </w:rPr>
        <w:t>及回收率见下表：</w:t>
      </w:r>
    </w:p>
    <w:p w14:paraId="68D720DC">
      <w:pPr>
        <w:widowControl/>
        <w:spacing w:line="360" w:lineRule="auto"/>
        <w:ind w:firstLine="420"/>
        <w:jc w:val="center"/>
        <w:rPr>
          <w:szCs w:val="21"/>
        </w:rPr>
      </w:pPr>
      <w:r>
        <w:rPr>
          <w:rFonts w:hint="eastAsia"/>
          <w:szCs w:val="21"/>
        </w:rPr>
        <w:t>表3 HPLC法测定结果</w:t>
      </w:r>
    </w:p>
    <w:tbl>
      <w:tblPr>
        <w:tblStyle w:val="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3686"/>
        <w:gridCol w:w="1275"/>
        <w:gridCol w:w="1418"/>
        <w:gridCol w:w="1213"/>
      </w:tblGrid>
      <w:tr w14:paraId="2747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1B5786AB">
            <w:pPr>
              <w:widowControl/>
              <w:jc w:val="center"/>
              <w:rPr>
                <w:color w:val="000000"/>
                <w:kern w:val="0"/>
                <w:szCs w:val="21"/>
              </w:rPr>
            </w:pPr>
            <w:r>
              <w:rPr>
                <w:rFonts w:hint="eastAsia"/>
                <w:color w:val="000000"/>
                <w:kern w:val="0"/>
                <w:szCs w:val="21"/>
              </w:rPr>
              <w:t>序号</w:t>
            </w:r>
          </w:p>
        </w:tc>
        <w:tc>
          <w:tcPr>
            <w:tcW w:w="3686" w:type="dxa"/>
            <w:noWrap/>
            <w:vAlign w:val="bottom"/>
          </w:tcPr>
          <w:p w14:paraId="201493B5">
            <w:pPr>
              <w:widowControl/>
              <w:jc w:val="center"/>
              <w:rPr>
                <w:color w:val="000000"/>
                <w:kern w:val="0"/>
                <w:szCs w:val="21"/>
              </w:rPr>
            </w:pPr>
            <w:r>
              <w:rPr>
                <w:rFonts w:hint="eastAsia"/>
                <w:color w:val="000000"/>
                <w:kern w:val="0"/>
                <w:szCs w:val="21"/>
              </w:rPr>
              <w:t>目标物质</w:t>
            </w:r>
            <w:r>
              <w:rPr>
                <w:color w:val="000000"/>
                <w:kern w:val="0"/>
                <w:szCs w:val="21"/>
              </w:rPr>
              <w:t>名称</w:t>
            </w:r>
          </w:p>
        </w:tc>
        <w:tc>
          <w:tcPr>
            <w:tcW w:w="1275" w:type="dxa"/>
            <w:noWrap/>
            <w:vAlign w:val="bottom"/>
          </w:tcPr>
          <w:p w14:paraId="50733CED">
            <w:pPr>
              <w:widowControl/>
              <w:jc w:val="center"/>
              <w:rPr>
                <w:color w:val="000000"/>
                <w:kern w:val="0"/>
                <w:szCs w:val="21"/>
              </w:rPr>
            </w:pPr>
            <w:r>
              <w:rPr>
                <w:szCs w:val="21"/>
              </w:rPr>
              <w:t>R</w:t>
            </w:r>
            <w:r>
              <w:rPr>
                <w:szCs w:val="21"/>
                <w:vertAlign w:val="superscript"/>
              </w:rPr>
              <w:t>2</w:t>
            </w:r>
          </w:p>
        </w:tc>
        <w:tc>
          <w:tcPr>
            <w:tcW w:w="1418" w:type="dxa"/>
            <w:noWrap/>
            <w:vAlign w:val="bottom"/>
          </w:tcPr>
          <w:p w14:paraId="6FF53672">
            <w:pPr>
              <w:widowControl/>
              <w:jc w:val="center"/>
              <w:rPr>
                <w:color w:val="000000"/>
                <w:kern w:val="0"/>
                <w:szCs w:val="21"/>
              </w:rPr>
            </w:pPr>
            <w:r>
              <w:rPr>
                <w:rFonts w:hint="eastAsia"/>
                <w:color w:val="000000"/>
                <w:kern w:val="0"/>
                <w:szCs w:val="21"/>
              </w:rPr>
              <w:t>精密度/%</w:t>
            </w:r>
          </w:p>
        </w:tc>
        <w:tc>
          <w:tcPr>
            <w:tcW w:w="1213" w:type="dxa"/>
          </w:tcPr>
          <w:p w14:paraId="38DAB703">
            <w:pPr>
              <w:widowControl/>
              <w:jc w:val="center"/>
              <w:rPr>
                <w:color w:val="000000"/>
                <w:kern w:val="0"/>
                <w:szCs w:val="21"/>
              </w:rPr>
            </w:pPr>
            <w:r>
              <w:rPr>
                <w:color w:val="000000"/>
                <w:kern w:val="0"/>
                <w:szCs w:val="21"/>
              </w:rPr>
              <w:t>回收率</w:t>
            </w:r>
            <w:r>
              <w:rPr>
                <w:rFonts w:hint="eastAsia"/>
                <w:color w:val="000000"/>
                <w:kern w:val="0"/>
                <w:szCs w:val="21"/>
              </w:rPr>
              <w:t>/</w:t>
            </w:r>
            <w:r>
              <w:rPr>
                <w:color w:val="000000"/>
                <w:kern w:val="0"/>
                <w:szCs w:val="21"/>
              </w:rPr>
              <w:t>%</w:t>
            </w:r>
          </w:p>
        </w:tc>
      </w:tr>
      <w:tr w14:paraId="589D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3A91BF07">
            <w:pPr>
              <w:widowControl/>
              <w:jc w:val="left"/>
              <w:rPr>
                <w:color w:val="000000"/>
                <w:kern w:val="0"/>
                <w:szCs w:val="21"/>
              </w:rPr>
            </w:pPr>
            <w:r>
              <w:rPr>
                <w:rFonts w:hint="eastAsia"/>
                <w:color w:val="000000"/>
                <w:kern w:val="0"/>
                <w:szCs w:val="21"/>
              </w:rPr>
              <w:t>1</w:t>
            </w:r>
          </w:p>
        </w:tc>
        <w:tc>
          <w:tcPr>
            <w:tcW w:w="3686" w:type="dxa"/>
            <w:noWrap/>
            <w:vAlign w:val="bottom"/>
          </w:tcPr>
          <w:p w14:paraId="0655BF06">
            <w:pPr>
              <w:widowControl/>
              <w:jc w:val="left"/>
              <w:rPr>
                <w:color w:val="000000"/>
                <w:kern w:val="0"/>
                <w:szCs w:val="21"/>
              </w:rPr>
            </w:pPr>
            <w:r>
              <w:rPr>
                <w:color w:val="000000"/>
                <w:kern w:val="0"/>
                <w:szCs w:val="21"/>
              </w:rPr>
              <w:t>4-氨基联苯</w:t>
            </w:r>
          </w:p>
        </w:tc>
        <w:tc>
          <w:tcPr>
            <w:tcW w:w="1275" w:type="dxa"/>
            <w:noWrap/>
            <w:vAlign w:val="bottom"/>
          </w:tcPr>
          <w:p w14:paraId="228E0426">
            <w:pPr>
              <w:widowControl/>
              <w:jc w:val="center"/>
            </w:pPr>
            <w:r>
              <w:rPr>
                <w:rFonts w:hint="eastAsia"/>
              </w:rPr>
              <w:t>0.9993</w:t>
            </w:r>
          </w:p>
        </w:tc>
        <w:tc>
          <w:tcPr>
            <w:tcW w:w="1418" w:type="dxa"/>
            <w:noWrap/>
            <w:vAlign w:val="bottom"/>
          </w:tcPr>
          <w:p w14:paraId="3D41FDC5">
            <w:pPr>
              <w:widowControl/>
              <w:jc w:val="center"/>
            </w:pPr>
            <w:r>
              <w:rPr>
                <w:rFonts w:hint="eastAsia"/>
              </w:rPr>
              <w:t>0.58</w:t>
            </w:r>
          </w:p>
        </w:tc>
        <w:tc>
          <w:tcPr>
            <w:tcW w:w="1213" w:type="dxa"/>
          </w:tcPr>
          <w:p w14:paraId="0ADA6CE6">
            <w:pPr>
              <w:widowControl/>
              <w:jc w:val="center"/>
            </w:pPr>
            <w:r>
              <w:t>102.28</w:t>
            </w:r>
          </w:p>
        </w:tc>
      </w:tr>
      <w:tr w14:paraId="2936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1514996B">
            <w:pPr>
              <w:widowControl/>
              <w:jc w:val="left"/>
              <w:rPr>
                <w:color w:val="000000"/>
                <w:kern w:val="0"/>
                <w:szCs w:val="21"/>
              </w:rPr>
            </w:pPr>
            <w:r>
              <w:rPr>
                <w:rFonts w:hint="eastAsia"/>
                <w:color w:val="000000"/>
                <w:kern w:val="0"/>
                <w:szCs w:val="21"/>
              </w:rPr>
              <w:t>2</w:t>
            </w:r>
          </w:p>
        </w:tc>
        <w:tc>
          <w:tcPr>
            <w:tcW w:w="3686" w:type="dxa"/>
            <w:noWrap/>
            <w:vAlign w:val="bottom"/>
          </w:tcPr>
          <w:p w14:paraId="36BB4CC1">
            <w:pPr>
              <w:widowControl/>
              <w:jc w:val="left"/>
              <w:rPr>
                <w:color w:val="000000"/>
                <w:kern w:val="0"/>
                <w:szCs w:val="21"/>
              </w:rPr>
            </w:pPr>
            <w:r>
              <w:rPr>
                <w:color w:val="000000"/>
                <w:kern w:val="0"/>
                <w:szCs w:val="21"/>
              </w:rPr>
              <w:t>联苯胺</w:t>
            </w:r>
          </w:p>
        </w:tc>
        <w:tc>
          <w:tcPr>
            <w:tcW w:w="1275" w:type="dxa"/>
            <w:noWrap/>
            <w:vAlign w:val="bottom"/>
          </w:tcPr>
          <w:p w14:paraId="4A7C5F2E">
            <w:pPr>
              <w:widowControl/>
              <w:jc w:val="center"/>
            </w:pPr>
            <w:r>
              <w:rPr>
                <w:rFonts w:hint="eastAsia"/>
              </w:rPr>
              <w:t>0.9992</w:t>
            </w:r>
          </w:p>
        </w:tc>
        <w:tc>
          <w:tcPr>
            <w:tcW w:w="1418" w:type="dxa"/>
            <w:noWrap/>
            <w:vAlign w:val="bottom"/>
          </w:tcPr>
          <w:p w14:paraId="205C441A">
            <w:pPr>
              <w:widowControl/>
              <w:jc w:val="center"/>
            </w:pPr>
            <w:r>
              <w:rPr>
                <w:rFonts w:hint="eastAsia"/>
              </w:rPr>
              <w:t>2.10</w:t>
            </w:r>
          </w:p>
        </w:tc>
        <w:tc>
          <w:tcPr>
            <w:tcW w:w="1213" w:type="dxa"/>
          </w:tcPr>
          <w:p w14:paraId="58D8980A">
            <w:pPr>
              <w:widowControl/>
              <w:jc w:val="center"/>
            </w:pPr>
            <w:r>
              <w:rPr>
                <w:rFonts w:hint="eastAsia"/>
              </w:rPr>
              <w:t>93.64</w:t>
            </w:r>
          </w:p>
        </w:tc>
      </w:tr>
      <w:tr w14:paraId="4D51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20ECDC82">
            <w:pPr>
              <w:widowControl/>
              <w:jc w:val="left"/>
              <w:rPr>
                <w:color w:val="000000"/>
                <w:kern w:val="0"/>
                <w:szCs w:val="21"/>
              </w:rPr>
            </w:pPr>
            <w:r>
              <w:rPr>
                <w:rFonts w:hint="eastAsia"/>
                <w:color w:val="000000"/>
                <w:kern w:val="0"/>
                <w:szCs w:val="21"/>
              </w:rPr>
              <w:t>3</w:t>
            </w:r>
          </w:p>
        </w:tc>
        <w:tc>
          <w:tcPr>
            <w:tcW w:w="3686" w:type="dxa"/>
            <w:noWrap/>
            <w:vAlign w:val="bottom"/>
          </w:tcPr>
          <w:p w14:paraId="1E8A5240">
            <w:pPr>
              <w:widowControl/>
              <w:jc w:val="left"/>
              <w:rPr>
                <w:color w:val="000000"/>
                <w:kern w:val="0"/>
                <w:szCs w:val="21"/>
              </w:rPr>
            </w:pPr>
            <w:r>
              <w:rPr>
                <w:color w:val="000000"/>
                <w:kern w:val="0"/>
                <w:szCs w:val="21"/>
              </w:rPr>
              <w:t>4-氯邻甲苯胺</w:t>
            </w:r>
          </w:p>
        </w:tc>
        <w:tc>
          <w:tcPr>
            <w:tcW w:w="1275" w:type="dxa"/>
            <w:noWrap/>
            <w:vAlign w:val="bottom"/>
          </w:tcPr>
          <w:p w14:paraId="3B82285C">
            <w:pPr>
              <w:widowControl/>
              <w:jc w:val="center"/>
            </w:pPr>
            <w:r>
              <w:rPr>
                <w:rFonts w:hint="eastAsia"/>
              </w:rPr>
              <w:t>0.9993</w:t>
            </w:r>
          </w:p>
        </w:tc>
        <w:tc>
          <w:tcPr>
            <w:tcW w:w="1418" w:type="dxa"/>
            <w:noWrap/>
            <w:vAlign w:val="bottom"/>
          </w:tcPr>
          <w:p w14:paraId="0B53135D">
            <w:pPr>
              <w:widowControl/>
              <w:jc w:val="center"/>
            </w:pPr>
            <w:r>
              <w:rPr>
                <w:rFonts w:hint="eastAsia"/>
              </w:rPr>
              <w:t>2.60</w:t>
            </w:r>
          </w:p>
        </w:tc>
        <w:tc>
          <w:tcPr>
            <w:tcW w:w="1213" w:type="dxa"/>
          </w:tcPr>
          <w:p w14:paraId="255683A9">
            <w:pPr>
              <w:widowControl/>
              <w:jc w:val="center"/>
            </w:pPr>
            <w:r>
              <w:t>82.93</w:t>
            </w:r>
          </w:p>
        </w:tc>
      </w:tr>
      <w:tr w14:paraId="4613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1A532E95">
            <w:pPr>
              <w:widowControl/>
              <w:jc w:val="left"/>
              <w:rPr>
                <w:color w:val="000000"/>
                <w:kern w:val="0"/>
                <w:szCs w:val="21"/>
              </w:rPr>
            </w:pPr>
            <w:r>
              <w:rPr>
                <w:rFonts w:hint="eastAsia"/>
                <w:color w:val="000000"/>
                <w:kern w:val="0"/>
                <w:szCs w:val="21"/>
              </w:rPr>
              <w:t>4</w:t>
            </w:r>
          </w:p>
        </w:tc>
        <w:tc>
          <w:tcPr>
            <w:tcW w:w="3686" w:type="dxa"/>
            <w:noWrap/>
            <w:vAlign w:val="bottom"/>
          </w:tcPr>
          <w:p w14:paraId="38BA7B3A">
            <w:pPr>
              <w:widowControl/>
              <w:jc w:val="left"/>
              <w:rPr>
                <w:color w:val="000000"/>
                <w:kern w:val="0"/>
                <w:szCs w:val="21"/>
              </w:rPr>
            </w:pPr>
            <w:r>
              <w:rPr>
                <w:color w:val="000000"/>
                <w:kern w:val="0"/>
                <w:szCs w:val="21"/>
              </w:rPr>
              <w:t>2-萘胺</w:t>
            </w:r>
          </w:p>
        </w:tc>
        <w:tc>
          <w:tcPr>
            <w:tcW w:w="1275" w:type="dxa"/>
            <w:noWrap/>
            <w:vAlign w:val="bottom"/>
          </w:tcPr>
          <w:p w14:paraId="651636AF">
            <w:pPr>
              <w:widowControl/>
              <w:jc w:val="center"/>
            </w:pPr>
            <w:r>
              <w:rPr>
                <w:rFonts w:hint="eastAsia"/>
              </w:rPr>
              <w:t>0.9998</w:t>
            </w:r>
          </w:p>
        </w:tc>
        <w:tc>
          <w:tcPr>
            <w:tcW w:w="1418" w:type="dxa"/>
            <w:noWrap/>
            <w:vAlign w:val="bottom"/>
          </w:tcPr>
          <w:p w14:paraId="203CD6E1">
            <w:pPr>
              <w:widowControl/>
              <w:jc w:val="center"/>
            </w:pPr>
            <w:r>
              <w:rPr>
                <w:rFonts w:hint="eastAsia"/>
              </w:rPr>
              <w:t>0.32</w:t>
            </w:r>
          </w:p>
        </w:tc>
        <w:tc>
          <w:tcPr>
            <w:tcW w:w="1213" w:type="dxa"/>
          </w:tcPr>
          <w:p w14:paraId="0ED8C863">
            <w:pPr>
              <w:widowControl/>
              <w:jc w:val="center"/>
            </w:pPr>
            <w:r>
              <w:t>95.06</w:t>
            </w:r>
          </w:p>
        </w:tc>
      </w:tr>
      <w:tr w14:paraId="0348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0FED77D4">
            <w:pPr>
              <w:widowControl/>
              <w:jc w:val="left"/>
              <w:rPr>
                <w:color w:val="000000"/>
                <w:kern w:val="0"/>
                <w:szCs w:val="21"/>
              </w:rPr>
            </w:pPr>
            <w:r>
              <w:rPr>
                <w:rFonts w:hint="eastAsia"/>
                <w:color w:val="000000"/>
                <w:kern w:val="0"/>
                <w:szCs w:val="21"/>
              </w:rPr>
              <w:t>5</w:t>
            </w:r>
          </w:p>
        </w:tc>
        <w:tc>
          <w:tcPr>
            <w:tcW w:w="3686" w:type="dxa"/>
            <w:noWrap/>
            <w:vAlign w:val="bottom"/>
          </w:tcPr>
          <w:p w14:paraId="0562280F">
            <w:pPr>
              <w:widowControl/>
              <w:jc w:val="left"/>
              <w:rPr>
                <w:color w:val="000000"/>
                <w:kern w:val="0"/>
                <w:szCs w:val="21"/>
              </w:rPr>
            </w:pPr>
            <w:r>
              <w:rPr>
                <w:color w:val="000000"/>
                <w:kern w:val="0"/>
                <w:szCs w:val="21"/>
              </w:rPr>
              <w:t>邻氨基偶氮甲苯</w:t>
            </w:r>
          </w:p>
        </w:tc>
        <w:tc>
          <w:tcPr>
            <w:tcW w:w="1275" w:type="dxa"/>
            <w:noWrap/>
            <w:vAlign w:val="bottom"/>
          </w:tcPr>
          <w:p w14:paraId="21A770BD">
            <w:pPr>
              <w:widowControl/>
              <w:jc w:val="center"/>
            </w:pPr>
            <w:r>
              <w:rPr>
                <w:rFonts w:hint="eastAsia"/>
              </w:rPr>
              <w:t>0.9999</w:t>
            </w:r>
          </w:p>
        </w:tc>
        <w:tc>
          <w:tcPr>
            <w:tcW w:w="1418" w:type="dxa"/>
            <w:noWrap/>
            <w:vAlign w:val="bottom"/>
          </w:tcPr>
          <w:p w14:paraId="2F9CB95C">
            <w:pPr>
              <w:widowControl/>
              <w:jc w:val="center"/>
            </w:pPr>
            <w:r>
              <w:rPr>
                <w:rFonts w:hint="eastAsia"/>
              </w:rPr>
              <w:t>3.33</w:t>
            </w:r>
          </w:p>
        </w:tc>
        <w:tc>
          <w:tcPr>
            <w:tcW w:w="1213" w:type="dxa"/>
          </w:tcPr>
          <w:p w14:paraId="76B92011">
            <w:pPr>
              <w:widowControl/>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1DAE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316A232B">
            <w:pPr>
              <w:widowControl/>
              <w:jc w:val="left"/>
              <w:rPr>
                <w:color w:val="000000"/>
                <w:kern w:val="0"/>
                <w:szCs w:val="21"/>
              </w:rPr>
            </w:pPr>
            <w:r>
              <w:rPr>
                <w:rFonts w:hint="eastAsia"/>
                <w:color w:val="000000"/>
                <w:kern w:val="0"/>
                <w:szCs w:val="21"/>
              </w:rPr>
              <w:t>6</w:t>
            </w:r>
          </w:p>
        </w:tc>
        <w:tc>
          <w:tcPr>
            <w:tcW w:w="3686" w:type="dxa"/>
            <w:noWrap/>
            <w:vAlign w:val="bottom"/>
          </w:tcPr>
          <w:p w14:paraId="03329B02">
            <w:pPr>
              <w:widowControl/>
              <w:jc w:val="left"/>
              <w:rPr>
                <w:color w:val="000000"/>
                <w:kern w:val="0"/>
                <w:szCs w:val="21"/>
              </w:rPr>
            </w:pPr>
            <w:r>
              <w:rPr>
                <w:color w:val="000000"/>
                <w:kern w:val="0"/>
                <w:szCs w:val="21"/>
              </w:rPr>
              <w:t>5-硝基-邻甲苯胺</w:t>
            </w:r>
          </w:p>
        </w:tc>
        <w:tc>
          <w:tcPr>
            <w:tcW w:w="1275" w:type="dxa"/>
            <w:noWrap/>
            <w:vAlign w:val="bottom"/>
          </w:tcPr>
          <w:p w14:paraId="47714324">
            <w:pPr>
              <w:widowControl/>
              <w:jc w:val="center"/>
            </w:pPr>
            <w:r>
              <w:rPr>
                <w:rFonts w:hint="eastAsia"/>
              </w:rPr>
              <w:t>0.9997</w:t>
            </w:r>
          </w:p>
        </w:tc>
        <w:tc>
          <w:tcPr>
            <w:tcW w:w="1418" w:type="dxa"/>
            <w:noWrap/>
            <w:vAlign w:val="bottom"/>
          </w:tcPr>
          <w:p w14:paraId="5F299B61">
            <w:pPr>
              <w:widowControl/>
              <w:jc w:val="center"/>
            </w:pPr>
            <w:r>
              <w:rPr>
                <w:rFonts w:hint="eastAsia"/>
              </w:rPr>
              <w:t>1.38</w:t>
            </w:r>
          </w:p>
        </w:tc>
        <w:tc>
          <w:tcPr>
            <w:tcW w:w="1213" w:type="dxa"/>
          </w:tcPr>
          <w:p w14:paraId="01D9BE8B">
            <w:pPr>
              <w:widowControl/>
              <w:jc w:val="center"/>
            </w:pPr>
            <w:r>
              <w:rPr>
                <w:rFonts w:hint="eastAsia"/>
              </w:rPr>
              <w:t>/</w:t>
            </w:r>
          </w:p>
        </w:tc>
      </w:tr>
      <w:tr w14:paraId="49D0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116F9190">
            <w:pPr>
              <w:widowControl/>
              <w:jc w:val="left"/>
              <w:rPr>
                <w:color w:val="000000"/>
                <w:kern w:val="0"/>
                <w:szCs w:val="21"/>
              </w:rPr>
            </w:pPr>
            <w:r>
              <w:rPr>
                <w:rFonts w:hint="eastAsia"/>
                <w:color w:val="000000"/>
                <w:kern w:val="0"/>
                <w:szCs w:val="21"/>
              </w:rPr>
              <w:t>7</w:t>
            </w:r>
          </w:p>
        </w:tc>
        <w:tc>
          <w:tcPr>
            <w:tcW w:w="3686" w:type="dxa"/>
            <w:noWrap/>
            <w:vAlign w:val="bottom"/>
          </w:tcPr>
          <w:p w14:paraId="37AEA720">
            <w:pPr>
              <w:widowControl/>
              <w:jc w:val="left"/>
              <w:rPr>
                <w:color w:val="000000"/>
                <w:kern w:val="0"/>
                <w:szCs w:val="21"/>
              </w:rPr>
            </w:pPr>
            <w:r>
              <w:rPr>
                <w:color w:val="000000"/>
                <w:kern w:val="0"/>
                <w:szCs w:val="21"/>
              </w:rPr>
              <w:t>对氯苯胺</w:t>
            </w:r>
          </w:p>
        </w:tc>
        <w:tc>
          <w:tcPr>
            <w:tcW w:w="1275" w:type="dxa"/>
            <w:noWrap/>
            <w:vAlign w:val="bottom"/>
          </w:tcPr>
          <w:p w14:paraId="424E4DFE">
            <w:pPr>
              <w:widowControl/>
              <w:jc w:val="center"/>
            </w:pPr>
            <w:r>
              <w:rPr>
                <w:rFonts w:hint="eastAsia"/>
              </w:rPr>
              <w:t>0.9992</w:t>
            </w:r>
          </w:p>
        </w:tc>
        <w:tc>
          <w:tcPr>
            <w:tcW w:w="1418" w:type="dxa"/>
            <w:noWrap/>
            <w:vAlign w:val="bottom"/>
          </w:tcPr>
          <w:p w14:paraId="5112DB2B">
            <w:pPr>
              <w:widowControl/>
              <w:jc w:val="center"/>
            </w:pPr>
            <w:r>
              <w:rPr>
                <w:rFonts w:hint="eastAsia"/>
              </w:rPr>
              <w:t>0.77</w:t>
            </w:r>
          </w:p>
        </w:tc>
        <w:tc>
          <w:tcPr>
            <w:tcW w:w="1213" w:type="dxa"/>
          </w:tcPr>
          <w:p w14:paraId="69866588">
            <w:pPr>
              <w:widowControl/>
              <w:jc w:val="center"/>
            </w:pPr>
            <w:r>
              <w:t>88.16</w:t>
            </w:r>
          </w:p>
        </w:tc>
      </w:tr>
      <w:tr w14:paraId="7395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4B6FB3D0">
            <w:pPr>
              <w:widowControl/>
              <w:jc w:val="left"/>
              <w:rPr>
                <w:color w:val="000000"/>
                <w:kern w:val="0"/>
                <w:szCs w:val="21"/>
              </w:rPr>
            </w:pPr>
            <w:r>
              <w:rPr>
                <w:rFonts w:hint="eastAsia"/>
                <w:color w:val="000000"/>
                <w:kern w:val="0"/>
                <w:szCs w:val="21"/>
              </w:rPr>
              <w:t>8</w:t>
            </w:r>
          </w:p>
        </w:tc>
        <w:tc>
          <w:tcPr>
            <w:tcW w:w="3686" w:type="dxa"/>
            <w:noWrap/>
            <w:vAlign w:val="bottom"/>
          </w:tcPr>
          <w:p w14:paraId="5C481DAC">
            <w:pPr>
              <w:widowControl/>
              <w:jc w:val="left"/>
              <w:rPr>
                <w:color w:val="000000"/>
                <w:kern w:val="0"/>
                <w:szCs w:val="21"/>
              </w:rPr>
            </w:pPr>
            <w:r>
              <w:rPr>
                <w:color w:val="000000"/>
                <w:kern w:val="0"/>
                <w:szCs w:val="21"/>
              </w:rPr>
              <w:t>2，4-二氨基苯甲醚</w:t>
            </w:r>
          </w:p>
        </w:tc>
        <w:tc>
          <w:tcPr>
            <w:tcW w:w="1275" w:type="dxa"/>
            <w:noWrap/>
            <w:vAlign w:val="bottom"/>
          </w:tcPr>
          <w:p w14:paraId="55A73742">
            <w:pPr>
              <w:widowControl/>
              <w:jc w:val="center"/>
            </w:pPr>
            <w:r>
              <w:rPr>
                <w:rFonts w:hint="eastAsia"/>
              </w:rPr>
              <w:t>0.9995</w:t>
            </w:r>
          </w:p>
        </w:tc>
        <w:tc>
          <w:tcPr>
            <w:tcW w:w="1418" w:type="dxa"/>
            <w:noWrap/>
            <w:vAlign w:val="bottom"/>
          </w:tcPr>
          <w:p w14:paraId="0AFFCEC6">
            <w:pPr>
              <w:widowControl/>
              <w:jc w:val="center"/>
            </w:pPr>
            <w:r>
              <w:rPr>
                <w:rFonts w:hint="eastAsia"/>
              </w:rPr>
              <w:t>1.38</w:t>
            </w:r>
          </w:p>
        </w:tc>
        <w:tc>
          <w:tcPr>
            <w:tcW w:w="1213" w:type="dxa"/>
          </w:tcPr>
          <w:p w14:paraId="56BB539F">
            <w:pPr>
              <w:widowControl/>
              <w:jc w:val="center"/>
            </w:pPr>
            <w:r>
              <w:t>44.67</w:t>
            </w:r>
          </w:p>
        </w:tc>
      </w:tr>
      <w:tr w14:paraId="78B0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418A6D49">
            <w:pPr>
              <w:widowControl/>
              <w:jc w:val="left"/>
              <w:rPr>
                <w:color w:val="000000"/>
                <w:kern w:val="0"/>
                <w:szCs w:val="21"/>
              </w:rPr>
            </w:pPr>
            <w:r>
              <w:rPr>
                <w:rFonts w:hint="eastAsia"/>
                <w:color w:val="000000"/>
                <w:kern w:val="0"/>
                <w:szCs w:val="21"/>
              </w:rPr>
              <w:t>9</w:t>
            </w:r>
          </w:p>
        </w:tc>
        <w:tc>
          <w:tcPr>
            <w:tcW w:w="3686" w:type="dxa"/>
            <w:noWrap/>
            <w:vAlign w:val="bottom"/>
          </w:tcPr>
          <w:p w14:paraId="3C29EB18">
            <w:pPr>
              <w:widowControl/>
              <w:jc w:val="left"/>
              <w:rPr>
                <w:color w:val="000000"/>
                <w:kern w:val="0"/>
                <w:szCs w:val="21"/>
              </w:rPr>
            </w:pPr>
            <w:r>
              <w:rPr>
                <w:color w:val="000000"/>
                <w:kern w:val="0"/>
                <w:szCs w:val="21"/>
              </w:rPr>
              <w:t>4，4-二氨基二苯甲烷</w:t>
            </w:r>
          </w:p>
        </w:tc>
        <w:tc>
          <w:tcPr>
            <w:tcW w:w="1275" w:type="dxa"/>
            <w:noWrap/>
            <w:vAlign w:val="bottom"/>
          </w:tcPr>
          <w:p w14:paraId="2F2CC785">
            <w:pPr>
              <w:widowControl/>
              <w:jc w:val="center"/>
            </w:pPr>
            <w:r>
              <w:rPr>
                <w:rFonts w:hint="eastAsia"/>
              </w:rPr>
              <w:t>0.9999</w:t>
            </w:r>
          </w:p>
        </w:tc>
        <w:tc>
          <w:tcPr>
            <w:tcW w:w="1418" w:type="dxa"/>
            <w:noWrap/>
            <w:vAlign w:val="bottom"/>
          </w:tcPr>
          <w:p w14:paraId="63EEFDF3">
            <w:pPr>
              <w:widowControl/>
              <w:jc w:val="center"/>
            </w:pPr>
            <w:r>
              <w:rPr>
                <w:rFonts w:hint="eastAsia"/>
              </w:rPr>
              <w:t>2.56</w:t>
            </w:r>
          </w:p>
        </w:tc>
        <w:tc>
          <w:tcPr>
            <w:tcW w:w="1213" w:type="dxa"/>
          </w:tcPr>
          <w:p w14:paraId="3D5D1426">
            <w:pPr>
              <w:widowControl/>
              <w:jc w:val="center"/>
            </w:pPr>
            <w:r>
              <w:rPr>
                <w:rFonts w:hint="eastAsia"/>
              </w:rPr>
              <w:t>8</w:t>
            </w:r>
            <w:r>
              <w:t>7.30</w:t>
            </w:r>
          </w:p>
        </w:tc>
      </w:tr>
      <w:tr w14:paraId="586E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77FFF9C7">
            <w:pPr>
              <w:widowControl/>
              <w:jc w:val="left"/>
              <w:rPr>
                <w:color w:val="000000"/>
                <w:kern w:val="0"/>
                <w:szCs w:val="21"/>
              </w:rPr>
            </w:pPr>
            <w:r>
              <w:rPr>
                <w:rFonts w:hint="eastAsia"/>
                <w:color w:val="000000"/>
                <w:kern w:val="0"/>
                <w:szCs w:val="21"/>
              </w:rPr>
              <w:t>10</w:t>
            </w:r>
          </w:p>
        </w:tc>
        <w:tc>
          <w:tcPr>
            <w:tcW w:w="3686" w:type="dxa"/>
            <w:noWrap/>
            <w:vAlign w:val="bottom"/>
          </w:tcPr>
          <w:p w14:paraId="156B3200">
            <w:pPr>
              <w:widowControl/>
              <w:jc w:val="left"/>
              <w:rPr>
                <w:color w:val="000000"/>
                <w:kern w:val="0"/>
                <w:szCs w:val="21"/>
              </w:rPr>
            </w:pPr>
            <w:r>
              <w:rPr>
                <w:color w:val="000000"/>
                <w:kern w:val="0"/>
                <w:szCs w:val="21"/>
              </w:rPr>
              <w:t>3，3-二氯联苯胺</w:t>
            </w:r>
          </w:p>
        </w:tc>
        <w:tc>
          <w:tcPr>
            <w:tcW w:w="1275" w:type="dxa"/>
            <w:noWrap/>
            <w:vAlign w:val="bottom"/>
          </w:tcPr>
          <w:p w14:paraId="4C69F501">
            <w:pPr>
              <w:widowControl/>
              <w:jc w:val="center"/>
            </w:pPr>
            <w:r>
              <w:rPr>
                <w:rFonts w:hint="eastAsia"/>
              </w:rPr>
              <w:t>0.9992</w:t>
            </w:r>
          </w:p>
        </w:tc>
        <w:tc>
          <w:tcPr>
            <w:tcW w:w="1418" w:type="dxa"/>
            <w:noWrap/>
            <w:vAlign w:val="bottom"/>
          </w:tcPr>
          <w:p w14:paraId="17E8FA63">
            <w:pPr>
              <w:widowControl/>
              <w:jc w:val="center"/>
            </w:pPr>
            <w:r>
              <w:rPr>
                <w:rFonts w:hint="eastAsia"/>
              </w:rPr>
              <w:t>2.52</w:t>
            </w:r>
          </w:p>
        </w:tc>
        <w:tc>
          <w:tcPr>
            <w:tcW w:w="1213" w:type="dxa"/>
          </w:tcPr>
          <w:p w14:paraId="0442B445">
            <w:pPr>
              <w:widowControl/>
              <w:jc w:val="center"/>
            </w:pPr>
            <w:r>
              <w:t>117.00</w:t>
            </w:r>
          </w:p>
        </w:tc>
      </w:tr>
      <w:tr w14:paraId="76D9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4D7EB255">
            <w:pPr>
              <w:widowControl/>
              <w:jc w:val="left"/>
              <w:rPr>
                <w:color w:val="000000"/>
                <w:kern w:val="0"/>
                <w:szCs w:val="21"/>
              </w:rPr>
            </w:pPr>
            <w:r>
              <w:rPr>
                <w:rFonts w:hint="eastAsia"/>
                <w:color w:val="000000"/>
                <w:kern w:val="0"/>
                <w:szCs w:val="21"/>
              </w:rPr>
              <w:t>11</w:t>
            </w:r>
          </w:p>
        </w:tc>
        <w:tc>
          <w:tcPr>
            <w:tcW w:w="3686" w:type="dxa"/>
            <w:noWrap/>
            <w:vAlign w:val="bottom"/>
          </w:tcPr>
          <w:p w14:paraId="18665F2B">
            <w:pPr>
              <w:widowControl/>
              <w:jc w:val="left"/>
              <w:rPr>
                <w:color w:val="000000"/>
                <w:kern w:val="0"/>
                <w:szCs w:val="21"/>
              </w:rPr>
            </w:pPr>
            <w:r>
              <w:rPr>
                <w:color w:val="000000"/>
                <w:kern w:val="0"/>
                <w:szCs w:val="21"/>
              </w:rPr>
              <w:t>3，3-二甲氧基联苯胺</w:t>
            </w:r>
          </w:p>
        </w:tc>
        <w:tc>
          <w:tcPr>
            <w:tcW w:w="1275" w:type="dxa"/>
            <w:noWrap/>
            <w:vAlign w:val="bottom"/>
          </w:tcPr>
          <w:p w14:paraId="2A5DA793">
            <w:pPr>
              <w:widowControl/>
              <w:jc w:val="center"/>
            </w:pPr>
            <w:r>
              <w:rPr>
                <w:rFonts w:hint="eastAsia"/>
              </w:rPr>
              <w:t>0.9995</w:t>
            </w:r>
          </w:p>
        </w:tc>
        <w:tc>
          <w:tcPr>
            <w:tcW w:w="1418" w:type="dxa"/>
            <w:noWrap/>
            <w:vAlign w:val="bottom"/>
          </w:tcPr>
          <w:p w14:paraId="65F279A8">
            <w:pPr>
              <w:widowControl/>
              <w:jc w:val="center"/>
            </w:pPr>
            <w:r>
              <w:rPr>
                <w:rFonts w:hint="eastAsia"/>
              </w:rPr>
              <w:t>0.31</w:t>
            </w:r>
          </w:p>
        </w:tc>
        <w:tc>
          <w:tcPr>
            <w:tcW w:w="1213" w:type="dxa"/>
          </w:tcPr>
          <w:p w14:paraId="4384420B">
            <w:pPr>
              <w:widowControl/>
              <w:jc w:val="center"/>
            </w:pPr>
            <w:r>
              <w:rPr>
                <w:rFonts w:hint="eastAsia"/>
              </w:rPr>
              <w:t>97.43</w:t>
            </w:r>
          </w:p>
        </w:tc>
      </w:tr>
      <w:tr w14:paraId="65F30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7192ADE2">
            <w:pPr>
              <w:widowControl/>
              <w:jc w:val="left"/>
              <w:rPr>
                <w:color w:val="000000"/>
                <w:kern w:val="0"/>
                <w:szCs w:val="21"/>
              </w:rPr>
            </w:pPr>
            <w:r>
              <w:rPr>
                <w:rFonts w:hint="eastAsia"/>
                <w:color w:val="000000"/>
                <w:kern w:val="0"/>
                <w:szCs w:val="21"/>
              </w:rPr>
              <w:t>12</w:t>
            </w:r>
          </w:p>
        </w:tc>
        <w:tc>
          <w:tcPr>
            <w:tcW w:w="3686" w:type="dxa"/>
            <w:noWrap/>
            <w:vAlign w:val="bottom"/>
          </w:tcPr>
          <w:p w14:paraId="1EA6B687">
            <w:pPr>
              <w:widowControl/>
              <w:jc w:val="left"/>
              <w:rPr>
                <w:color w:val="000000"/>
                <w:kern w:val="0"/>
                <w:szCs w:val="21"/>
              </w:rPr>
            </w:pPr>
            <w:r>
              <w:rPr>
                <w:color w:val="000000"/>
                <w:kern w:val="0"/>
                <w:szCs w:val="21"/>
              </w:rPr>
              <w:t>3，3-二甲基联苯胺</w:t>
            </w:r>
          </w:p>
        </w:tc>
        <w:tc>
          <w:tcPr>
            <w:tcW w:w="1275" w:type="dxa"/>
            <w:noWrap/>
            <w:vAlign w:val="bottom"/>
          </w:tcPr>
          <w:p w14:paraId="7CB51BCD">
            <w:pPr>
              <w:widowControl/>
              <w:jc w:val="center"/>
            </w:pPr>
            <w:r>
              <w:rPr>
                <w:rFonts w:hint="eastAsia"/>
              </w:rPr>
              <w:t>0.9993</w:t>
            </w:r>
          </w:p>
        </w:tc>
        <w:tc>
          <w:tcPr>
            <w:tcW w:w="1418" w:type="dxa"/>
            <w:noWrap/>
            <w:vAlign w:val="bottom"/>
          </w:tcPr>
          <w:p w14:paraId="4AF8819B">
            <w:pPr>
              <w:widowControl/>
              <w:jc w:val="center"/>
            </w:pPr>
            <w:r>
              <w:rPr>
                <w:rFonts w:hint="eastAsia"/>
              </w:rPr>
              <w:t>3.32</w:t>
            </w:r>
          </w:p>
        </w:tc>
        <w:tc>
          <w:tcPr>
            <w:tcW w:w="1213" w:type="dxa"/>
          </w:tcPr>
          <w:p w14:paraId="7D864545">
            <w:pPr>
              <w:widowControl/>
              <w:jc w:val="center"/>
            </w:pPr>
            <w:r>
              <w:t>107.22</w:t>
            </w:r>
          </w:p>
        </w:tc>
      </w:tr>
      <w:tr w14:paraId="73E5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744D12AD">
            <w:pPr>
              <w:widowControl/>
              <w:jc w:val="left"/>
              <w:rPr>
                <w:color w:val="000000"/>
                <w:kern w:val="0"/>
                <w:szCs w:val="21"/>
              </w:rPr>
            </w:pPr>
            <w:r>
              <w:rPr>
                <w:rFonts w:hint="eastAsia"/>
                <w:color w:val="000000"/>
                <w:kern w:val="0"/>
                <w:szCs w:val="21"/>
              </w:rPr>
              <w:t>13</w:t>
            </w:r>
          </w:p>
        </w:tc>
        <w:tc>
          <w:tcPr>
            <w:tcW w:w="3686" w:type="dxa"/>
            <w:noWrap/>
            <w:vAlign w:val="bottom"/>
          </w:tcPr>
          <w:p w14:paraId="38057D56">
            <w:pPr>
              <w:widowControl/>
              <w:jc w:val="left"/>
              <w:rPr>
                <w:color w:val="000000"/>
                <w:kern w:val="0"/>
                <w:szCs w:val="21"/>
              </w:rPr>
            </w:pPr>
            <w:r>
              <w:rPr>
                <w:color w:val="000000"/>
                <w:kern w:val="0"/>
                <w:szCs w:val="21"/>
              </w:rPr>
              <w:t>3，3-二甲基-4，4-二氨基二苯甲烷</w:t>
            </w:r>
          </w:p>
        </w:tc>
        <w:tc>
          <w:tcPr>
            <w:tcW w:w="1275" w:type="dxa"/>
            <w:noWrap/>
            <w:vAlign w:val="bottom"/>
          </w:tcPr>
          <w:p w14:paraId="45A62974">
            <w:pPr>
              <w:widowControl/>
              <w:jc w:val="center"/>
            </w:pPr>
            <w:r>
              <w:rPr>
                <w:rFonts w:hint="eastAsia"/>
              </w:rPr>
              <w:t>0.9997</w:t>
            </w:r>
          </w:p>
        </w:tc>
        <w:tc>
          <w:tcPr>
            <w:tcW w:w="1418" w:type="dxa"/>
            <w:noWrap/>
            <w:vAlign w:val="bottom"/>
          </w:tcPr>
          <w:p w14:paraId="12911F7C">
            <w:pPr>
              <w:widowControl/>
              <w:jc w:val="center"/>
            </w:pPr>
            <w:r>
              <w:rPr>
                <w:rFonts w:hint="eastAsia"/>
              </w:rPr>
              <w:t>1.77</w:t>
            </w:r>
          </w:p>
        </w:tc>
        <w:tc>
          <w:tcPr>
            <w:tcW w:w="1213" w:type="dxa"/>
          </w:tcPr>
          <w:p w14:paraId="145D2ADE">
            <w:pPr>
              <w:widowControl/>
              <w:jc w:val="center"/>
            </w:pPr>
            <w:r>
              <w:t>117.52</w:t>
            </w:r>
          </w:p>
        </w:tc>
      </w:tr>
      <w:tr w14:paraId="7C4B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61B2BC20">
            <w:pPr>
              <w:widowControl/>
              <w:jc w:val="left"/>
              <w:rPr>
                <w:color w:val="000000"/>
                <w:kern w:val="0"/>
                <w:szCs w:val="21"/>
              </w:rPr>
            </w:pPr>
            <w:r>
              <w:rPr>
                <w:rFonts w:hint="eastAsia"/>
                <w:color w:val="000000"/>
                <w:kern w:val="0"/>
                <w:szCs w:val="21"/>
              </w:rPr>
              <w:t>14</w:t>
            </w:r>
          </w:p>
        </w:tc>
        <w:tc>
          <w:tcPr>
            <w:tcW w:w="3686" w:type="dxa"/>
            <w:noWrap/>
            <w:vAlign w:val="bottom"/>
          </w:tcPr>
          <w:p w14:paraId="45B1B472">
            <w:pPr>
              <w:widowControl/>
              <w:jc w:val="left"/>
              <w:rPr>
                <w:color w:val="000000"/>
                <w:kern w:val="0"/>
                <w:szCs w:val="21"/>
              </w:rPr>
            </w:pPr>
            <w:r>
              <w:rPr>
                <w:color w:val="000000"/>
                <w:kern w:val="0"/>
                <w:szCs w:val="21"/>
              </w:rPr>
              <w:t>2-甲氧基-5-甲基苯胺</w:t>
            </w:r>
          </w:p>
        </w:tc>
        <w:tc>
          <w:tcPr>
            <w:tcW w:w="1275" w:type="dxa"/>
            <w:noWrap/>
            <w:vAlign w:val="bottom"/>
          </w:tcPr>
          <w:p w14:paraId="4D64653C">
            <w:pPr>
              <w:widowControl/>
              <w:jc w:val="center"/>
            </w:pPr>
            <w:r>
              <w:rPr>
                <w:rFonts w:hint="eastAsia"/>
              </w:rPr>
              <w:t>0.9993</w:t>
            </w:r>
          </w:p>
        </w:tc>
        <w:tc>
          <w:tcPr>
            <w:tcW w:w="1418" w:type="dxa"/>
            <w:noWrap/>
            <w:vAlign w:val="bottom"/>
          </w:tcPr>
          <w:p w14:paraId="1F8C9740">
            <w:pPr>
              <w:widowControl/>
              <w:jc w:val="center"/>
            </w:pPr>
            <w:r>
              <w:rPr>
                <w:rFonts w:hint="eastAsia"/>
              </w:rPr>
              <w:t>1.93</w:t>
            </w:r>
          </w:p>
        </w:tc>
        <w:tc>
          <w:tcPr>
            <w:tcW w:w="1213" w:type="dxa"/>
          </w:tcPr>
          <w:p w14:paraId="6A0D002A">
            <w:pPr>
              <w:widowControl/>
              <w:jc w:val="center"/>
            </w:pPr>
            <w:r>
              <w:t>94.53</w:t>
            </w:r>
          </w:p>
        </w:tc>
      </w:tr>
      <w:tr w14:paraId="6B5E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7DAE4DD2">
            <w:pPr>
              <w:widowControl/>
              <w:jc w:val="left"/>
              <w:rPr>
                <w:color w:val="000000"/>
                <w:kern w:val="0"/>
                <w:szCs w:val="21"/>
              </w:rPr>
            </w:pPr>
            <w:r>
              <w:rPr>
                <w:rFonts w:hint="eastAsia"/>
                <w:color w:val="000000"/>
                <w:kern w:val="0"/>
                <w:szCs w:val="21"/>
              </w:rPr>
              <w:t>15</w:t>
            </w:r>
          </w:p>
        </w:tc>
        <w:tc>
          <w:tcPr>
            <w:tcW w:w="3686" w:type="dxa"/>
            <w:noWrap/>
            <w:vAlign w:val="bottom"/>
          </w:tcPr>
          <w:p w14:paraId="04255654">
            <w:pPr>
              <w:widowControl/>
              <w:jc w:val="left"/>
              <w:rPr>
                <w:color w:val="000000"/>
                <w:kern w:val="0"/>
                <w:szCs w:val="21"/>
              </w:rPr>
            </w:pPr>
            <w:r>
              <w:rPr>
                <w:color w:val="000000"/>
                <w:kern w:val="0"/>
                <w:szCs w:val="21"/>
              </w:rPr>
              <w:t>4，4-亚甲基-二-（2-氯苯胺）</w:t>
            </w:r>
          </w:p>
        </w:tc>
        <w:tc>
          <w:tcPr>
            <w:tcW w:w="1275" w:type="dxa"/>
            <w:noWrap/>
            <w:vAlign w:val="bottom"/>
          </w:tcPr>
          <w:p w14:paraId="276D7DCE">
            <w:pPr>
              <w:widowControl/>
              <w:jc w:val="center"/>
            </w:pPr>
            <w:r>
              <w:rPr>
                <w:rFonts w:hint="eastAsia"/>
              </w:rPr>
              <w:t>0.9992</w:t>
            </w:r>
          </w:p>
        </w:tc>
        <w:tc>
          <w:tcPr>
            <w:tcW w:w="1418" w:type="dxa"/>
            <w:noWrap/>
            <w:vAlign w:val="bottom"/>
          </w:tcPr>
          <w:p w14:paraId="2E7FFE89">
            <w:pPr>
              <w:widowControl/>
              <w:jc w:val="center"/>
            </w:pPr>
            <w:r>
              <w:rPr>
                <w:rFonts w:hint="eastAsia"/>
              </w:rPr>
              <w:t>1.02</w:t>
            </w:r>
          </w:p>
        </w:tc>
        <w:tc>
          <w:tcPr>
            <w:tcW w:w="1213" w:type="dxa"/>
          </w:tcPr>
          <w:p w14:paraId="282205F3">
            <w:pPr>
              <w:widowControl/>
              <w:jc w:val="center"/>
            </w:pPr>
            <w:r>
              <w:t>107.25</w:t>
            </w:r>
          </w:p>
        </w:tc>
      </w:tr>
      <w:tr w14:paraId="3FEB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6371A474">
            <w:pPr>
              <w:widowControl/>
              <w:jc w:val="left"/>
              <w:rPr>
                <w:color w:val="000000"/>
                <w:kern w:val="0"/>
                <w:szCs w:val="21"/>
              </w:rPr>
            </w:pPr>
            <w:r>
              <w:rPr>
                <w:rFonts w:hint="eastAsia"/>
                <w:color w:val="000000"/>
                <w:kern w:val="0"/>
                <w:szCs w:val="21"/>
              </w:rPr>
              <w:t>16</w:t>
            </w:r>
          </w:p>
        </w:tc>
        <w:tc>
          <w:tcPr>
            <w:tcW w:w="3686" w:type="dxa"/>
            <w:noWrap/>
            <w:vAlign w:val="bottom"/>
          </w:tcPr>
          <w:p w14:paraId="2BC51CE2">
            <w:pPr>
              <w:widowControl/>
              <w:jc w:val="left"/>
              <w:rPr>
                <w:color w:val="000000"/>
                <w:kern w:val="0"/>
                <w:szCs w:val="21"/>
              </w:rPr>
            </w:pPr>
            <w:r>
              <w:rPr>
                <w:color w:val="000000"/>
                <w:kern w:val="0"/>
                <w:szCs w:val="21"/>
              </w:rPr>
              <w:t>4，4-二氨基二苯醚</w:t>
            </w:r>
          </w:p>
        </w:tc>
        <w:tc>
          <w:tcPr>
            <w:tcW w:w="1275" w:type="dxa"/>
            <w:noWrap/>
            <w:vAlign w:val="bottom"/>
          </w:tcPr>
          <w:p w14:paraId="43F1D7F4">
            <w:pPr>
              <w:widowControl/>
              <w:jc w:val="center"/>
            </w:pPr>
            <w:r>
              <w:rPr>
                <w:rFonts w:hint="eastAsia"/>
              </w:rPr>
              <w:t>0.9990</w:t>
            </w:r>
          </w:p>
        </w:tc>
        <w:tc>
          <w:tcPr>
            <w:tcW w:w="1418" w:type="dxa"/>
            <w:noWrap/>
            <w:vAlign w:val="bottom"/>
          </w:tcPr>
          <w:p w14:paraId="2FF67AEB">
            <w:pPr>
              <w:widowControl/>
              <w:jc w:val="center"/>
            </w:pPr>
            <w:r>
              <w:rPr>
                <w:rFonts w:hint="eastAsia"/>
              </w:rPr>
              <w:t>3.45</w:t>
            </w:r>
          </w:p>
        </w:tc>
        <w:tc>
          <w:tcPr>
            <w:tcW w:w="1213" w:type="dxa"/>
          </w:tcPr>
          <w:p w14:paraId="26D7D8AF">
            <w:pPr>
              <w:widowControl/>
              <w:jc w:val="center"/>
            </w:pPr>
            <w:r>
              <w:t>71.20</w:t>
            </w:r>
          </w:p>
        </w:tc>
      </w:tr>
      <w:tr w14:paraId="7537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4A122CC6">
            <w:pPr>
              <w:widowControl/>
              <w:jc w:val="left"/>
              <w:rPr>
                <w:color w:val="000000"/>
                <w:kern w:val="0"/>
                <w:szCs w:val="21"/>
              </w:rPr>
            </w:pPr>
            <w:r>
              <w:rPr>
                <w:rFonts w:hint="eastAsia"/>
                <w:color w:val="000000"/>
                <w:kern w:val="0"/>
                <w:szCs w:val="21"/>
              </w:rPr>
              <w:t>17</w:t>
            </w:r>
          </w:p>
        </w:tc>
        <w:tc>
          <w:tcPr>
            <w:tcW w:w="3686" w:type="dxa"/>
            <w:noWrap/>
            <w:vAlign w:val="bottom"/>
          </w:tcPr>
          <w:p w14:paraId="559EC269">
            <w:pPr>
              <w:widowControl/>
              <w:jc w:val="left"/>
              <w:rPr>
                <w:color w:val="000000"/>
                <w:kern w:val="0"/>
                <w:szCs w:val="21"/>
              </w:rPr>
            </w:pPr>
            <w:r>
              <w:rPr>
                <w:color w:val="000000"/>
                <w:kern w:val="0"/>
                <w:szCs w:val="21"/>
              </w:rPr>
              <w:t>4，4-二氨基二苯硫醚</w:t>
            </w:r>
          </w:p>
        </w:tc>
        <w:tc>
          <w:tcPr>
            <w:tcW w:w="1275" w:type="dxa"/>
            <w:noWrap/>
            <w:vAlign w:val="bottom"/>
          </w:tcPr>
          <w:p w14:paraId="46952616">
            <w:pPr>
              <w:widowControl/>
              <w:jc w:val="center"/>
            </w:pPr>
            <w:r>
              <w:rPr>
                <w:rFonts w:hint="eastAsia"/>
              </w:rPr>
              <w:t>0.9998</w:t>
            </w:r>
          </w:p>
        </w:tc>
        <w:tc>
          <w:tcPr>
            <w:tcW w:w="1418" w:type="dxa"/>
            <w:noWrap/>
            <w:vAlign w:val="bottom"/>
          </w:tcPr>
          <w:p w14:paraId="62E30211">
            <w:pPr>
              <w:widowControl/>
              <w:jc w:val="center"/>
            </w:pPr>
            <w:r>
              <w:rPr>
                <w:rFonts w:hint="eastAsia"/>
              </w:rPr>
              <w:t>3.65</w:t>
            </w:r>
          </w:p>
        </w:tc>
        <w:tc>
          <w:tcPr>
            <w:tcW w:w="1213" w:type="dxa"/>
          </w:tcPr>
          <w:p w14:paraId="4678DA09">
            <w:pPr>
              <w:widowControl/>
              <w:jc w:val="center"/>
            </w:pPr>
            <w:r>
              <w:t>99.05</w:t>
            </w:r>
          </w:p>
        </w:tc>
      </w:tr>
      <w:tr w14:paraId="31D1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32DB748E">
            <w:pPr>
              <w:widowControl/>
              <w:jc w:val="left"/>
              <w:rPr>
                <w:color w:val="000000"/>
                <w:kern w:val="0"/>
                <w:szCs w:val="21"/>
              </w:rPr>
            </w:pPr>
            <w:r>
              <w:rPr>
                <w:rFonts w:hint="eastAsia"/>
                <w:color w:val="000000"/>
                <w:kern w:val="0"/>
                <w:szCs w:val="21"/>
              </w:rPr>
              <w:t>18</w:t>
            </w:r>
          </w:p>
        </w:tc>
        <w:tc>
          <w:tcPr>
            <w:tcW w:w="3686" w:type="dxa"/>
            <w:noWrap/>
            <w:vAlign w:val="bottom"/>
          </w:tcPr>
          <w:p w14:paraId="7A4CED48">
            <w:pPr>
              <w:widowControl/>
              <w:jc w:val="left"/>
              <w:rPr>
                <w:color w:val="000000"/>
                <w:kern w:val="0"/>
                <w:szCs w:val="21"/>
              </w:rPr>
            </w:pPr>
            <w:r>
              <w:rPr>
                <w:color w:val="000000"/>
                <w:kern w:val="0"/>
                <w:szCs w:val="21"/>
              </w:rPr>
              <w:t>邻甲苯胺</w:t>
            </w:r>
          </w:p>
        </w:tc>
        <w:tc>
          <w:tcPr>
            <w:tcW w:w="1275" w:type="dxa"/>
            <w:noWrap/>
            <w:vAlign w:val="bottom"/>
          </w:tcPr>
          <w:p w14:paraId="7437EAD9">
            <w:pPr>
              <w:widowControl/>
              <w:jc w:val="center"/>
            </w:pPr>
            <w:r>
              <w:rPr>
                <w:rFonts w:hint="eastAsia"/>
              </w:rPr>
              <w:t>0.9996</w:t>
            </w:r>
          </w:p>
        </w:tc>
        <w:tc>
          <w:tcPr>
            <w:tcW w:w="1418" w:type="dxa"/>
            <w:noWrap/>
            <w:vAlign w:val="bottom"/>
          </w:tcPr>
          <w:p w14:paraId="2039853D">
            <w:pPr>
              <w:widowControl/>
              <w:jc w:val="center"/>
            </w:pPr>
            <w:r>
              <w:rPr>
                <w:rFonts w:hint="eastAsia"/>
              </w:rPr>
              <w:t>1.06</w:t>
            </w:r>
          </w:p>
        </w:tc>
        <w:tc>
          <w:tcPr>
            <w:tcW w:w="1213" w:type="dxa"/>
          </w:tcPr>
          <w:p w14:paraId="3CCC29ED">
            <w:pPr>
              <w:widowControl/>
              <w:jc w:val="center"/>
            </w:pPr>
            <w:r>
              <w:t>76.74</w:t>
            </w:r>
          </w:p>
        </w:tc>
      </w:tr>
      <w:tr w14:paraId="2670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04756E21">
            <w:pPr>
              <w:widowControl/>
              <w:jc w:val="left"/>
              <w:rPr>
                <w:color w:val="000000"/>
                <w:kern w:val="0"/>
                <w:szCs w:val="21"/>
              </w:rPr>
            </w:pPr>
            <w:r>
              <w:rPr>
                <w:rFonts w:hint="eastAsia"/>
                <w:color w:val="000000"/>
                <w:kern w:val="0"/>
                <w:szCs w:val="21"/>
              </w:rPr>
              <w:t>19</w:t>
            </w:r>
          </w:p>
        </w:tc>
        <w:tc>
          <w:tcPr>
            <w:tcW w:w="3686" w:type="dxa"/>
            <w:noWrap/>
            <w:vAlign w:val="bottom"/>
          </w:tcPr>
          <w:p w14:paraId="4055CBCD">
            <w:pPr>
              <w:widowControl/>
              <w:jc w:val="left"/>
              <w:rPr>
                <w:color w:val="000000"/>
                <w:kern w:val="0"/>
                <w:szCs w:val="21"/>
              </w:rPr>
            </w:pPr>
            <w:r>
              <w:rPr>
                <w:color w:val="000000"/>
                <w:kern w:val="0"/>
                <w:szCs w:val="21"/>
              </w:rPr>
              <w:t>2，4-二氨基甲苯</w:t>
            </w:r>
          </w:p>
        </w:tc>
        <w:tc>
          <w:tcPr>
            <w:tcW w:w="1275" w:type="dxa"/>
            <w:noWrap/>
            <w:vAlign w:val="bottom"/>
          </w:tcPr>
          <w:p w14:paraId="36784B65">
            <w:pPr>
              <w:widowControl/>
              <w:jc w:val="center"/>
            </w:pPr>
            <w:r>
              <w:rPr>
                <w:rFonts w:hint="eastAsia"/>
              </w:rPr>
              <w:t>0.9992</w:t>
            </w:r>
          </w:p>
        </w:tc>
        <w:tc>
          <w:tcPr>
            <w:tcW w:w="1418" w:type="dxa"/>
            <w:noWrap/>
            <w:vAlign w:val="bottom"/>
          </w:tcPr>
          <w:p w14:paraId="3FF125F4">
            <w:pPr>
              <w:widowControl/>
              <w:jc w:val="center"/>
            </w:pPr>
            <w:r>
              <w:rPr>
                <w:rFonts w:hint="eastAsia"/>
              </w:rPr>
              <w:t>2.45</w:t>
            </w:r>
          </w:p>
        </w:tc>
        <w:tc>
          <w:tcPr>
            <w:tcW w:w="1213" w:type="dxa"/>
          </w:tcPr>
          <w:p w14:paraId="343F0419">
            <w:pPr>
              <w:widowControl/>
              <w:jc w:val="center"/>
            </w:pPr>
            <w:r>
              <w:t>82.66</w:t>
            </w:r>
          </w:p>
        </w:tc>
      </w:tr>
      <w:tr w14:paraId="2476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5440CC76">
            <w:pPr>
              <w:widowControl/>
              <w:jc w:val="left"/>
              <w:rPr>
                <w:color w:val="000000"/>
                <w:kern w:val="0"/>
                <w:szCs w:val="21"/>
              </w:rPr>
            </w:pPr>
            <w:r>
              <w:rPr>
                <w:rFonts w:hint="eastAsia"/>
                <w:color w:val="000000"/>
                <w:kern w:val="0"/>
                <w:szCs w:val="21"/>
              </w:rPr>
              <w:t>20</w:t>
            </w:r>
          </w:p>
        </w:tc>
        <w:tc>
          <w:tcPr>
            <w:tcW w:w="3686" w:type="dxa"/>
            <w:noWrap/>
            <w:vAlign w:val="bottom"/>
          </w:tcPr>
          <w:p w14:paraId="47A36ADC">
            <w:pPr>
              <w:widowControl/>
              <w:jc w:val="left"/>
              <w:rPr>
                <w:color w:val="000000"/>
                <w:kern w:val="0"/>
                <w:szCs w:val="21"/>
              </w:rPr>
            </w:pPr>
            <w:r>
              <w:rPr>
                <w:color w:val="000000"/>
                <w:kern w:val="0"/>
                <w:szCs w:val="21"/>
              </w:rPr>
              <w:t>2，4，5-三甲基苯胺</w:t>
            </w:r>
          </w:p>
        </w:tc>
        <w:tc>
          <w:tcPr>
            <w:tcW w:w="1275" w:type="dxa"/>
            <w:noWrap/>
            <w:vAlign w:val="bottom"/>
          </w:tcPr>
          <w:p w14:paraId="63475675">
            <w:pPr>
              <w:widowControl/>
              <w:jc w:val="center"/>
            </w:pPr>
            <w:r>
              <w:rPr>
                <w:rFonts w:hint="eastAsia"/>
              </w:rPr>
              <w:t>0.9999</w:t>
            </w:r>
          </w:p>
        </w:tc>
        <w:tc>
          <w:tcPr>
            <w:tcW w:w="1418" w:type="dxa"/>
            <w:noWrap/>
            <w:vAlign w:val="bottom"/>
          </w:tcPr>
          <w:p w14:paraId="42CCACDB">
            <w:pPr>
              <w:widowControl/>
              <w:jc w:val="center"/>
            </w:pPr>
            <w:r>
              <w:rPr>
                <w:rFonts w:hint="eastAsia"/>
              </w:rPr>
              <w:t>0.82</w:t>
            </w:r>
          </w:p>
        </w:tc>
        <w:tc>
          <w:tcPr>
            <w:tcW w:w="1213" w:type="dxa"/>
          </w:tcPr>
          <w:p w14:paraId="6BE5660C">
            <w:pPr>
              <w:widowControl/>
              <w:jc w:val="center"/>
            </w:pPr>
            <w:r>
              <w:t>84.80</w:t>
            </w:r>
          </w:p>
        </w:tc>
      </w:tr>
      <w:tr w14:paraId="11FB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2FC31BBA">
            <w:pPr>
              <w:widowControl/>
              <w:jc w:val="left"/>
              <w:rPr>
                <w:color w:val="000000"/>
                <w:kern w:val="0"/>
                <w:szCs w:val="21"/>
              </w:rPr>
            </w:pPr>
            <w:r>
              <w:rPr>
                <w:rFonts w:hint="eastAsia"/>
                <w:color w:val="000000"/>
                <w:kern w:val="0"/>
                <w:szCs w:val="21"/>
              </w:rPr>
              <w:t>21</w:t>
            </w:r>
          </w:p>
        </w:tc>
        <w:tc>
          <w:tcPr>
            <w:tcW w:w="3686" w:type="dxa"/>
            <w:noWrap/>
            <w:vAlign w:val="bottom"/>
          </w:tcPr>
          <w:p w14:paraId="70C16F2E">
            <w:pPr>
              <w:widowControl/>
              <w:jc w:val="left"/>
              <w:rPr>
                <w:color w:val="000000"/>
                <w:kern w:val="0"/>
                <w:szCs w:val="21"/>
              </w:rPr>
            </w:pPr>
            <w:r>
              <w:rPr>
                <w:color w:val="000000"/>
                <w:kern w:val="0"/>
                <w:szCs w:val="21"/>
              </w:rPr>
              <w:t>邻氨基苯甲醚</w:t>
            </w:r>
          </w:p>
        </w:tc>
        <w:tc>
          <w:tcPr>
            <w:tcW w:w="1275" w:type="dxa"/>
            <w:noWrap/>
            <w:vAlign w:val="bottom"/>
          </w:tcPr>
          <w:p w14:paraId="47D31D2A">
            <w:pPr>
              <w:widowControl/>
              <w:jc w:val="center"/>
            </w:pPr>
            <w:r>
              <w:rPr>
                <w:rFonts w:hint="eastAsia"/>
              </w:rPr>
              <w:t>0.9999</w:t>
            </w:r>
          </w:p>
        </w:tc>
        <w:tc>
          <w:tcPr>
            <w:tcW w:w="1418" w:type="dxa"/>
            <w:noWrap/>
            <w:vAlign w:val="bottom"/>
          </w:tcPr>
          <w:p w14:paraId="0912AC01">
            <w:pPr>
              <w:widowControl/>
              <w:jc w:val="center"/>
            </w:pPr>
            <w:r>
              <w:rPr>
                <w:rFonts w:hint="eastAsia"/>
              </w:rPr>
              <w:t>0.36</w:t>
            </w:r>
          </w:p>
        </w:tc>
        <w:tc>
          <w:tcPr>
            <w:tcW w:w="1213" w:type="dxa"/>
          </w:tcPr>
          <w:p w14:paraId="4A225284">
            <w:pPr>
              <w:widowControl/>
              <w:jc w:val="center"/>
            </w:pPr>
            <w:r>
              <w:t>90.84</w:t>
            </w:r>
          </w:p>
        </w:tc>
      </w:tr>
      <w:tr w14:paraId="3401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34185A58">
            <w:pPr>
              <w:widowControl/>
              <w:jc w:val="left"/>
              <w:rPr>
                <w:color w:val="000000"/>
                <w:kern w:val="0"/>
                <w:szCs w:val="21"/>
              </w:rPr>
            </w:pPr>
            <w:r>
              <w:rPr>
                <w:rFonts w:hint="eastAsia"/>
                <w:color w:val="000000"/>
                <w:kern w:val="0"/>
                <w:szCs w:val="21"/>
              </w:rPr>
              <w:t>22</w:t>
            </w:r>
          </w:p>
        </w:tc>
        <w:tc>
          <w:tcPr>
            <w:tcW w:w="3686" w:type="dxa"/>
            <w:noWrap/>
            <w:vAlign w:val="bottom"/>
          </w:tcPr>
          <w:p w14:paraId="69D06469">
            <w:pPr>
              <w:widowControl/>
              <w:jc w:val="left"/>
              <w:rPr>
                <w:color w:val="000000"/>
                <w:kern w:val="0"/>
                <w:szCs w:val="21"/>
              </w:rPr>
            </w:pPr>
            <w:r>
              <w:rPr>
                <w:color w:val="000000"/>
                <w:kern w:val="0"/>
                <w:szCs w:val="21"/>
              </w:rPr>
              <w:t>4-氨基偶氮苯</w:t>
            </w:r>
          </w:p>
        </w:tc>
        <w:tc>
          <w:tcPr>
            <w:tcW w:w="1275" w:type="dxa"/>
            <w:noWrap/>
            <w:vAlign w:val="bottom"/>
          </w:tcPr>
          <w:p w14:paraId="7AA8F1C6">
            <w:pPr>
              <w:widowControl/>
              <w:jc w:val="center"/>
            </w:pPr>
            <w:r>
              <w:rPr>
                <w:rFonts w:hint="eastAsia"/>
              </w:rPr>
              <w:t>0.9997</w:t>
            </w:r>
          </w:p>
        </w:tc>
        <w:tc>
          <w:tcPr>
            <w:tcW w:w="1418" w:type="dxa"/>
            <w:noWrap/>
            <w:vAlign w:val="bottom"/>
          </w:tcPr>
          <w:p w14:paraId="3E502CC5">
            <w:pPr>
              <w:widowControl/>
              <w:jc w:val="center"/>
            </w:pPr>
            <w:r>
              <w:rPr>
                <w:rFonts w:hint="eastAsia"/>
              </w:rPr>
              <w:t>1.89</w:t>
            </w:r>
          </w:p>
        </w:tc>
        <w:tc>
          <w:tcPr>
            <w:tcW w:w="1213" w:type="dxa"/>
          </w:tcPr>
          <w:p w14:paraId="05D2CEA8">
            <w:pPr>
              <w:widowControl/>
              <w:jc w:val="center"/>
            </w:pPr>
            <w:r>
              <w:rPr>
                <w:rFonts w:hint="eastAsia"/>
              </w:rPr>
              <w:t>/</w:t>
            </w:r>
          </w:p>
        </w:tc>
      </w:tr>
      <w:tr w14:paraId="5038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5717D66C">
            <w:pPr>
              <w:widowControl/>
              <w:jc w:val="left"/>
              <w:rPr>
                <w:color w:val="000000"/>
                <w:kern w:val="0"/>
                <w:szCs w:val="21"/>
              </w:rPr>
            </w:pPr>
            <w:r>
              <w:rPr>
                <w:rFonts w:hint="eastAsia"/>
                <w:color w:val="000000"/>
                <w:kern w:val="0"/>
                <w:szCs w:val="21"/>
              </w:rPr>
              <w:t>23</w:t>
            </w:r>
          </w:p>
        </w:tc>
        <w:tc>
          <w:tcPr>
            <w:tcW w:w="3686" w:type="dxa"/>
            <w:noWrap/>
            <w:vAlign w:val="bottom"/>
          </w:tcPr>
          <w:p w14:paraId="25C40B97">
            <w:pPr>
              <w:widowControl/>
              <w:jc w:val="left"/>
              <w:rPr>
                <w:color w:val="000000"/>
                <w:kern w:val="0"/>
                <w:szCs w:val="21"/>
              </w:rPr>
            </w:pPr>
            <w:r>
              <w:rPr>
                <w:color w:val="000000"/>
                <w:kern w:val="0"/>
                <w:szCs w:val="21"/>
              </w:rPr>
              <w:t>2，4-二甲基苯胺</w:t>
            </w:r>
          </w:p>
        </w:tc>
        <w:tc>
          <w:tcPr>
            <w:tcW w:w="1275" w:type="dxa"/>
            <w:noWrap/>
            <w:vAlign w:val="bottom"/>
          </w:tcPr>
          <w:p w14:paraId="6CFD71F9">
            <w:pPr>
              <w:widowControl/>
              <w:jc w:val="center"/>
            </w:pPr>
            <w:r>
              <w:rPr>
                <w:rFonts w:hint="eastAsia"/>
              </w:rPr>
              <w:t>0.9995</w:t>
            </w:r>
          </w:p>
        </w:tc>
        <w:tc>
          <w:tcPr>
            <w:tcW w:w="1418" w:type="dxa"/>
            <w:noWrap/>
            <w:vAlign w:val="bottom"/>
          </w:tcPr>
          <w:p w14:paraId="520A60A8">
            <w:pPr>
              <w:widowControl/>
              <w:jc w:val="center"/>
            </w:pPr>
            <w:r>
              <w:rPr>
                <w:rFonts w:hint="eastAsia"/>
              </w:rPr>
              <w:t>0.49</w:t>
            </w:r>
          </w:p>
        </w:tc>
        <w:tc>
          <w:tcPr>
            <w:tcW w:w="1213" w:type="dxa"/>
          </w:tcPr>
          <w:p w14:paraId="7E82C1F9">
            <w:pPr>
              <w:widowControl/>
              <w:jc w:val="center"/>
            </w:pPr>
            <w:r>
              <w:rPr>
                <w:rFonts w:hint="eastAsia"/>
              </w:rPr>
              <w:t>80.64</w:t>
            </w:r>
          </w:p>
        </w:tc>
      </w:tr>
      <w:tr w14:paraId="508C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270E8BE5">
            <w:pPr>
              <w:widowControl/>
              <w:jc w:val="left"/>
              <w:rPr>
                <w:color w:val="000000"/>
                <w:kern w:val="0"/>
                <w:szCs w:val="21"/>
              </w:rPr>
            </w:pPr>
            <w:r>
              <w:rPr>
                <w:rFonts w:hint="eastAsia"/>
                <w:color w:val="000000"/>
                <w:kern w:val="0"/>
                <w:szCs w:val="21"/>
              </w:rPr>
              <w:t>24</w:t>
            </w:r>
          </w:p>
        </w:tc>
        <w:tc>
          <w:tcPr>
            <w:tcW w:w="3686" w:type="dxa"/>
            <w:noWrap/>
            <w:vAlign w:val="bottom"/>
          </w:tcPr>
          <w:p w14:paraId="741999A8">
            <w:pPr>
              <w:widowControl/>
              <w:jc w:val="left"/>
              <w:rPr>
                <w:color w:val="000000"/>
                <w:kern w:val="0"/>
                <w:szCs w:val="21"/>
              </w:rPr>
            </w:pPr>
            <w:r>
              <w:rPr>
                <w:rFonts w:hint="eastAsia"/>
                <w:color w:val="000000"/>
                <w:kern w:val="0"/>
                <w:szCs w:val="21"/>
              </w:rPr>
              <w:t>2</w:t>
            </w:r>
            <w:r>
              <w:rPr>
                <w:color w:val="000000"/>
                <w:kern w:val="0"/>
                <w:szCs w:val="21"/>
              </w:rPr>
              <w:t>，</w:t>
            </w:r>
            <w:r>
              <w:rPr>
                <w:rFonts w:hint="eastAsia"/>
                <w:color w:val="000000"/>
                <w:kern w:val="0"/>
                <w:szCs w:val="21"/>
              </w:rPr>
              <w:t>6</w:t>
            </w:r>
            <w:r>
              <w:rPr>
                <w:color w:val="000000"/>
                <w:kern w:val="0"/>
                <w:szCs w:val="21"/>
              </w:rPr>
              <w:t>-二甲基苯胺</w:t>
            </w:r>
          </w:p>
        </w:tc>
        <w:tc>
          <w:tcPr>
            <w:tcW w:w="1275" w:type="dxa"/>
            <w:noWrap/>
            <w:vAlign w:val="bottom"/>
          </w:tcPr>
          <w:p w14:paraId="1528B2D7">
            <w:pPr>
              <w:widowControl/>
              <w:jc w:val="center"/>
            </w:pPr>
            <w:r>
              <w:rPr>
                <w:rFonts w:hint="eastAsia"/>
              </w:rPr>
              <w:t>0.9991</w:t>
            </w:r>
          </w:p>
        </w:tc>
        <w:tc>
          <w:tcPr>
            <w:tcW w:w="1418" w:type="dxa"/>
            <w:noWrap/>
            <w:vAlign w:val="bottom"/>
          </w:tcPr>
          <w:p w14:paraId="55619415">
            <w:pPr>
              <w:widowControl/>
              <w:jc w:val="center"/>
            </w:pPr>
            <w:r>
              <w:rPr>
                <w:rFonts w:hint="eastAsia"/>
              </w:rPr>
              <w:t>0.67</w:t>
            </w:r>
          </w:p>
        </w:tc>
        <w:tc>
          <w:tcPr>
            <w:tcW w:w="1213" w:type="dxa"/>
          </w:tcPr>
          <w:p w14:paraId="1B7AC964">
            <w:pPr>
              <w:widowControl/>
              <w:jc w:val="center"/>
            </w:pPr>
            <w:r>
              <w:rPr>
                <w:rFonts w:hint="eastAsia"/>
              </w:rPr>
              <w:t>70.64</w:t>
            </w:r>
          </w:p>
        </w:tc>
      </w:tr>
      <w:tr w14:paraId="6FFA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6CE584B0">
            <w:pPr>
              <w:widowControl/>
              <w:jc w:val="left"/>
              <w:rPr>
                <w:color w:val="000000"/>
                <w:kern w:val="0"/>
                <w:szCs w:val="21"/>
              </w:rPr>
            </w:pPr>
            <w:r>
              <w:rPr>
                <w:rFonts w:hint="eastAsia"/>
                <w:color w:val="000000"/>
                <w:kern w:val="0"/>
                <w:szCs w:val="21"/>
              </w:rPr>
              <w:t>25</w:t>
            </w:r>
          </w:p>
        </w:tc>
        <w:tc>
          <w:tcPr>
            <w:tcW w:w="3686" w:type="dxa"/>
            <w:noWrap/>
            <w:vAlign w:val="bottom"/>
          </w:tcPr>
          <w:p w14:paraId="1A0B0A0E">
            <w:pPr>
              <w:widowControl/>
              <w:jc w:val="left"/>
              <w:rPr>
                <w:color w:val="000000"/>
                <w:kern w:val="0"/>
                <w:szCs w:val="21"/>
              </w:rPr>
            </w:pPr>
            <w:r>
              <w:rPr>
                <w:color w:val="000000"/>
                <w:kern w:val="0"/>
                <w:szCs w:val="21"/>
              </w:rPr>
              <w:t>苯胺</w:t>
            </w:r>
          </w:p>
        </w:tc>
        <w:tc>
          <w:tcPr>
            <w:tcW w:w="1275" w:type="dxa"/>
            <w:noWrap/>
            <w:vAlign w:val="bottom"/>
          </w:tcPr>
          <w:p w14:paraId="348D7B60">
            <w:pPr>
              <w:widowControl/>
              <w:jc w:val="center"/>
            </w:pPr>
            <w:r>
              <w:rPr>
                <w:rFonts w:hint="eastAsia"/>
              </w:rPr>
              <w:t>0.9998</w:t>
            </w:r>
          </w:p>
        </w:tc>
        <w:tc>
          <w:tcPr>
            <w:tcW w:w="1418" w:type="dxa"/>
            <w:noWrap/>
            <w:vAlign w:val="bottom"/>
          </w:tcPr>
          <w:p w14:paraId="32C2E5DF">
            <w:pPr>
              <w:widowControl/>
              <w:jc w:val="center"/>
            </w:pPr>
            <w:r>
              <w:rPr>
                <w:rFonts w:hint="eastAsia"/>
              </w:rPr>
              <w:t>0.62</w:t>
            </w:r>
          </w:p>
        </w:tc>
        <w:tc>
          <w:tcPr>
            <w:tcW w:w="1213" w:type="dxa"/>
          </w:tcPr>
          <w:p w14:paraId="4E041135">
            <w:pPr>
              <w:widowControl/>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72.33</w:t>
            </w:r>
          </w:p>
        </w:tc>
      </w:tr>
      <w:tr w14:paraId="6E9A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04" w:type="dxa"/>
          </w:tcPr>
          <w:p w14:paraId="3BBC63B1">
            <w:pPr>
              <w:widowControl/>
              <w:jc w:val="left"/>
              <w:rPr>
                <w:color w:val="000000"/>
                <w:kern w:val="0"/>
                <w:szCs w:val="21"/>
              </w:rPr>
            </w:pPr>
            <w:r>
              <w:rPr>
                <w:rFonts w:hint="eastAsia"/>
                <w:color w:val="000000"/>
                <w:kern w:val="0"/>
                <w:szCs w:val="21"/>
              </w:rPr>
              <w:t>26</w:t>
            </w:r>
          </w:p>
        </w:tc>
        <w:tc>
          <w:tcPr>
            <w:tcW w:w="3686" w:type="dxa"/>
            <w:noWrap/>
            <w:vAlign w:val="bottom"/>
          </w:tcPr>
          <w:p w14:paraId="76B75E6E">
            <w:pPr>
              <w:widowControl/>
              <w:jc w:val="left"/>
              <w:rPr>
                <w:color w:val="000000"/>
                <w:kern w:val="0"/>
                <w:szCs w:val="21"/>
              </w:rPr>
            </w:pPr>
            <w:r>
              <w:rPr>
                <w:color w:val="000000"/>
                <w:kern w:val="0"/>
                <w:szCs w:val="21"/>
              </w:rPr>
              <w:t>1，4-苯二胺</w:t>
            </w:r>
          </w:p>
        </w:tc>
        <w:tc>
          <w:tcPr>
            <w:tcW w:w="1275" w:type="dxa"/>
            <w:noWrap/>
            <w:vAlign w:val="bottom"/>
          </w:tcPr>
          <w:p w14:paraId="73AEA143">
            <w:pPr>
              <w:widowControl/>
              <w:jc w:val="center"/>
            </w:pPr>
            <w:r>
              <w:rPr>
                <w:rFonts w:hint="eastAsia"/>
              </w:rPr>
              <w:t>0.9993</w:t>
            </w:r>
          </w:p>
        </w:tc>
        <w:tc>
          <w:tcPr>
            <w:tcW w:w="1418" w:type="dxa"/>
            <w:noWrap/>
            <w:vAlign w:val="bottom"/>
          </w:tcPr>
          <w:p w14:paraId="0D6D788F">
            <w:pPr>
              <w:widowControl/>
              <w:jc w:val="center"/>
            </w:pPr>
            <w:r>
              <w:rPr>
                <w:rFonts w:hint="eastAsia"/>
              </w:rPr>
              <w:t>2.91</w:t>
            </w:r>
          </w:p>
        </w:tc>
        <w:tc>
          <w:tcPr>
            <w:tcW w:w="1213" w:type="dxa"/>
          </w:tcPr>
          <w:p w14:paraId="79E8B218">
            <w:pPr>
              <w:widowControl/>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r>
    </w:tbl>
    <w:p w14:paraId="66A29F87">
      <w:pPr>
        <w:pStyle w:val="22"/>
        <w:widowControl/>
        <w:ind w:left="567" w:firstLine="0" w:firstLineChars="0"/>
        <w:jc w:val="left"/>
        <w:rPr>
          <w:szCs w:val="21"/>
        </w:rPr>
      </w:pPr>
    </w:p>
    <w:p w14:paraId="3A1B0239">
      <w:pPr>
        <w:pStyle w:val="37"/>
        <w:spacing w:line="360" w:lineRule="auto"/>
        <w:ind w:firstLine="0"/>
        <w:jc w:val="both"/>
        <w:rPr>
          <w:rFonts w:ascii="Times New Roman" w:hAnsi="Times New Roman" w:cs="Times New Roman"/>
          <w:b/>
          <w:bCs/>
          <w:sz w:val="21"/>
          <w:szCs w:val="21"/>
          <w:lang w:val="zh-CN" w:eastAsia="zh-CN" w:bidi="zh-CN"/>
        </w:rPr>
      </w:pPr>
      <w:r>
        <w:rPr>
          <w:rFonts w:ascii="Times New Roman" w:hAnsi="Times New Roman" w:cs="Times New Roman"/>
          <w:b/>
          <w:bCs/>
          <w:sz w:val="21"/>
          <w:szCs w:val="21"/>
          <w:lang w:val="zh-CN" w:eastAsia="zh-CN" w:bidi="zh-CN"/>
        </w:rPr>
        <w:t>五、与相关标准的关系分析</w:t>
      </w:r>
    </w:p>
    <w:p w14:paraId="2C6DB288">
      <w:pPr>
        <w:spacing w:line="360" w:lineRule="auto"/>
        <w:ind w:firstLine="420" w:firstLineChars="200"/>
        <w:rPr>
          <w:szCs w:val="21"/>
        </w:rPr>
      </w:pPr>
      <w:r>
        <w:rPr>
          <w:szCs w:val="21"/>
        </w:rPr>
        <w:t>本标准的制定遵循了与其相关的国家标准或行业标准的规定，与现行的法律、法规及其他行业标准没有矛盾。</w:t>
      </w:r>
    </w:p>
    <w:p w14:paraId="0766E4CD">
      <w:pPr>
        <w:pStyle w:val="37"/>
        <w:spacing w:line="360" w:lineRule="auto"/>
        <w:ind w:firstLine="0"/>
        <w:jc w:val="both"/>
        <w:rPr>
          <w:rFonts w:ascii="Times New Roman" w:hAnsi="Times New Roman" w:cs="Times New Roman"/>
          <w:sz w:val="21"/>
          <w:szCs w:val="21"/>
        </w:rPr>
      </w:pPr>
      <w:r>
        <w:rPr>
          <w:rFonts w:ascii="Times New Roman" w:hAnsi="Times New Roman" w:cs="Times New Roman"/>
          <w:b/>
          <w:bCs/>
          <w:sz w:val="21"/>
          <w:szCs w:val="21"/>
          <w:lang w:val="zh-CN" w:eastAsia="zh-CN" w:bidi="zh-CN"/>
        </w:rPr>
        <w:t>六、采用国际标准的程度及水平说明</w:t>
      </w:r>
    </w:p>
    <w:p w14:paraId="4C3892FF">
      <w:pPr>
        <w:spacing w:line="360" w:lineRule="auto"/>
        <w:ind w:firstLine="420" w:firstLineChars="200"/>
        <w:rPr>
          <w:szCs w:val="21"/>
        </w:rPr>
      </w:pPr>
      <w:r>
        <w:rPr>
          <w:szCs w:val="21"/>
        </w:rPr>
        <w:t>目前尚未发现有国际及国外有相关标准颁布。此标准填补国内外空白。</w:t>
      </w:r>
    </w:p>
    <w:p w14:paraId="316C0C9D">
      <w:pPr>
        <w:pStyle w:val="37"/>
        <w:spacing w:line="360" w:lineRule="auto"/>
        <w:ind w:firstLine="0"/>
        <w:jc w:val="both"/>
        <w:rPr>
          <w:rFonts w:ascii="Times New Roman" w:hAnsi="Times New Roman" w:cs="Times New Roman"/>
          <w:sz w:val="21"/>
          <w:szCs w:val="21"/>
        </w:rPr>
      </w:pPr>
      <w:r>
        <w:rPr>
          <w:rFonts w:ascii="Times New Roman" w:hAnsi="Times New Roman" w:cs="Times New Roman"/>
          <w:b/>
          <w:bCs/>
          <w:sz w:val="21"/>
          <w:szCs w:val="21"/>
          <w:lang w:val="zh-CN" w:eastAsia="zh-CN" w:bidi="zh-CN"/>
        </w:rPr>
        <w:t>七、重大分歧或重难点的处理经过和依据</w:t>
      </w:r>
    </w:p>
    <w:p w14:paraId="192CC3EC">
      <w:pPr>
        <w:spacing w:line="360" w:lineRule="auto"/>
        <w:ind w:firstLine="420" w:firstLineChars="200"/>
        <w:rPr>
          <w:rFonts w:hint="eastAsia" w:eastAsia="宋体"/>
          <w:szCs w:val="21"/>
          <w:lang w:eastAsia="zh-CN"/>
        </w:rPr>
      </w:pPr>
      <w:r>
        <w:rPr>
          <w:szCs w:val="21"/>
        </w:rPr>
        <w:t>无重大分歧意见</w:t>
      </w:r>
      <w:r>
        <w:rPr>
          <w:rFonts w:hint="eastAsia"/>
          <w:szCs w:val="21"/>
          <w:lang w:eastAsia="zh-CN"/>
        </w:rPr>
        <w:t>。</w:t>
      </w:r>
    </w:p>
    <w:p w14:paraId="3175E9AC">
      <w:pPr>
        <w:spacing w:before="120" w:after="120" w:line="360" w:lineRule="auto"/>
        <w:rPr>
          <w:b/>
          <w:bCs/>
          <w:szCs w:val="21"/>
          <w:lang w:val="zh-CN" w:bidi="zh-CN"/>
        </w:rPr>
      </w:pPr>
      <w:r>
        <w:rPr>
          <w:b/>
          <w:bCs/>
          <w:szCs w:val="21"/>
          <w:lang w:val="zh-CN" w:bidi="zh-CN"/>
        </w:rPr>
        <w:t>八、标准推广应用措施及预期效果</w:t>
      </w:r>
    </w:p>
    <w:p w14:paraId="227C6110">
      <w:pPr>
        <w:spacing w:line="360" w:lineRule="auto"/>
        <w:ind w:firstLine="420" w:firstLineChars="200"/>
        <w:rPr>
          <w:szCs w:val="21"/>
        </w:rPr>
      </w:pPr>
      <w:r>
        <w:rPr>
          <w:szCs w:val="21"/>
        </w:rPr>
        <w:t>无。</w:t>
      </w:r>
    </w:p>
    <w:p w14:paraId="2617A07D">
      <w:pPr>
        <w:spacing w:line="360" w:lineRule="auto"/>
        <w:rPr>
          <w:b/>
          <w:kern w:val="0"/>
          <w:szCs w:val="21"/>
        </w:rPr>
      </w:pPr>
      <w:r>
        <w:rPr>
          <w:b/>
          <w:kern w:val="0"/>
          <w:szCs w:val="21"/>
        </w:rPr>
        <w:t>九、其他应予说明的事项</w:t>
      </w:r>
    </w:p>
    <w:p w14:paraId="5B2FA240">
      <w:pPr>
        <w:spacing w:before="120" w:after="120" w:line="360" w:lineRule="auto"/>
        <w:ind w:firstLine="480"/>
        <w:rPr>
          <w:kern w:val="0"/>
          <w:szCs w:val="21"/>
        </w:rPr>
      </w:pPr>
      <w:r>
        <w:rPr>
          <w:kern w:val="0"/>
          <w:szCs w:val="21"/>
        </w:rPr>
        <w:t>无。</w:t>
      </w:r>
    </w:p>
    <w:p w14:paraId="754071BB">
      <w:pPr>
        <w:spacing w:line="360" w:lineRule="auto"/>
        <w:ind w:firstLine="420" w:firstLineChars="200"/>
        <w:rPr>
          <w:kern w:val="0"/>
          <w:szCs w:val="21"/>
        </w:rPr>
      </w:pPr>
    </w:p>
    <w:p w14:paraId="6BD0A5CD">
      <w:pPr>
        <w:spacing w:line="360" w:lineRule="auto"/>
        <w:ind w:firstLine="420" w:firstLineChars="200"/>
        <w:rPr>
          <w:kern w:val="0"/>
          <w:szCs w:val="21"/>
        </w:rPr>
      </w:pPr>
    </w:p>
    <w:p w14:paraId="15DD0208">
      <w:pPr>
        <w:spacing w:line="360" w:lineRule="auto"/>
        <w:ind w:firstLine="408" w:firstLineChars="200"/>
        <w:rPr>
          <w:spacing w:val="-3"/>
          <w:szCs w:val="21"/>
        </w:rPr>
      </w:pPr>
    </w:p>
    <w:p w14:paraId="6889062B">
      <w:pPr>
        <w:spacing w:line="360" w:lineRule="auto"/>
        <w:ind w:firstLine="420" w:firstLineChars="200"/>
        <w:jc w:val="right"/>
        <w:rPr>
          <w:kern w:val="0"/>
          <w:szCs w:val="21"/>
        </w:rPr>
      </w:pPr>
      <w:r>
        <w:rPr>
          <w:kern w:val="0"/>
          <w:szCs w:val="21"/>
        </w:rPr>
        <w:t>标准起草工作组</w:t>
      </w:r>
    </w:p>
    <w:p w14:paraId="091AA971">
      <w:pPr>
        <w:spacing w:line="360" w:lineRule="auto"/>
        <w:ind w:firstLine="420" w:firstLineChars="200"/>
        <w:rPr>
          <w:kern w:val="0"/>
          <w:szCs w:val="21"/>
        </w:rPr>
      </w:pPr>
      <w:r>
        <w:rPr>
          <w:kern w:val="0"/>
          <w:szCs w:val="21"/>
        </w:rPr>
        <w:t xml:space="preserve">                                                      </w:t>
      </w:r>
      <w:r>
        <w:rPr>
          <w:rFonts w:hint="eastAsia"/>
          <w:kern w:val="0"/>
          <w:szCs w:val="21"/>
        </w:rPr>
        <w:t xml:space="preserve">         </w:t>
      </w:r>
      <w:r>
        <w:rPr>
          <w:kern w:val="0"/>
          <w:szCs w:val="21"/>
        </w:rPr>
        <w:t>2026年</w:t>
      </w:r>
      <w:r>
        <w:rPr>
          <w:rFonts w:hint="eastAsia"/>
          <w:kern w:val="0"/>
          <w:szCs w:val="21"/>
        </w:rPr>
        <w:t>6</w:t>
      </w:r>
      <w:r>
        <w:rPr>
          <w:kern w:val="0"/>
          <w:szCs w:val="21"/>
        </w:rPr>
        <w:t>月</w:t>
      </w:r>
    </w:p>
    <w:p w14:paraId="3AEB2C5A">
      <w:pPr>
        <w:widowControl/>
        <w:jc w:val="left"/>
        <w:rPr>
          <w:kern w:val="0"/>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B8EEC">
    <w:pPr>
      <w:pStyle w:val="5"/>
      <w:jc w:val="right"/>
    </w:pPr>
    <w:r>
      <w:fldChar w:fldCharType="begin"/>
    </w:r>
    <w:r>
      <w:instrText xml:space="preserve">PAGE   \* MERGEFORMAT</w:instrText>
    </w:r>
    <w:r>
      <w:fldChar w:fldCharType="separate"/>
    </w:r>
    <w:r>
      <w:rPr>
        <w:lang w:val="zh-CN"/>
      </w:rPr>
      <w:t>21</w:t>
    </w:r>
    <w:r>
      <w:fldChar w:fldCharType="end"/>
    </w:r>
  </w:p>
  <w:p w14:paraId="7A16B358">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BB3DB4"/>
    <w:multiLevelType w:val="multilevel"/>
    <w:tmpl w:val="2CBB3DB4"/>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
    <w:nsid w:val="32F04FB2"/>
    <w:multiLevelType w:val="multilevel"/>
    <w:tmpl w:val="32F04FB2"/>
    <w:lvl w:ilvl="0" w:tentative="0">
      <w:start w:val="1"/>
      <w:numFmt w:val="lowerLetter"/>
      <w:pStyle w:val="48"/>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
    <w:nsid w:val="5603797C"/>
    <w:multiLevelType w:val="multilevel"/>
    <w:tmpl w:val="5603797C"/>
    <w:lvl w:ilvl="0" w:tentative="0">
      <w:start w:val="1"/>
      <w:numFmt w:val="upperLetter"/>
      <w:pStyle w:val="47"/>
      <w:suff w:val="space"/>
      <w:lvlText w:val="%1"/>
      <w:lvlJc w:val="left"/>
      <w:pPr>
        <w:ind w:left="425" w:hanging="425"/>
      </w:pPr>
      <w:rPr>
        <w:rFonts w:hint="eastAsia"/>
      </w:rPr>
    </w:lvl>
    <w:lvl w:ilvl="1" w:tentative="0">
      <w:start w:val="1"/>
      <w:numFmt w:val="decimal"/>
      <w:pStyle w:val="45"/>
      <w:suff w:val="space"/>
      <w:lvlText w:val="表%1.%2 "/>
      <w:lvlJc w:val="center"/>
      <w:pPr>
        <w:ind w:left="3261"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657D3FBC"/>
    <w:multiLevelType w:val="multilevel"/>
    <w:tmpl w:val="657D3FBC"/>
    <w:lvl w:ilvl="0" w:tentative="0">
      <w:start w:val="1"/>
      <w:numFmt w:val="upperLetter"/>
      <w:pStyle w:val="38"/>
      <w:suff w:val="nothing"/>
      <w:lvlText w:val="附录%1"/>
      <w:lvlJc w:val="left"/>
      <w:pPr>
        <w:ind w:left="0" w:firstLine="0"/>
      </w:pPr>
      <w:rPr>
        <w:rFonts w:hint="eastAsia"/>
        <w:spacing w:val="100"/>
      </w:rPr>
    </w:lvl>
    <w:lvl w:ilvl="1" w:tentative="0">
      <w:start w:val="1"/>
      <w:numFmt w:val="decimal"/>
      <w:pStyle w:val="39"/>
      <w:suff w:val="nothing"/>
      <w:lvlText w:val="%1.%2　"/>
      <w:lvlJc w:val="left"/>
      <w:pPr>
        <w:ind w:left="0" w:firstLine="0"/>
      </w:pPr>
      <w:rPr>
        <w:rFonts w:hint="eastAsia" w:ascii="黑体" w:eastAsia="黑体"/>
        <w:b w:val="0"/>
        <w:i w:val="0"/>
        <w:sz w:val="21"/>
      </w:rPr>
    </w:lvl>
    <w:lvl w:ilvl="2" w:tentative="0">
      <w:start w:val="1"/>
      <w:numFmt w:val="decimal"/>
      <w:pStyle w:val="40"/>
      <w:suff w:val="nothing"/>
      <w:lvlText w:val="%1.%2.%3　"/>
      <w:lvlJc w:val="left"/>
      <w:pPr>
        <w:ind w:left="0" w:firstLine="0"/>
      </w:pPr>
      <w:rPr>
        <w:rFonts w:hint="eastAsia" w:ascii="黑体" w:eastAsia="黑体"/>
        <w:b w:val="0"/>
        <w:i w:val="0"/>
        <w:sz w:val="21"/>
      </w:rPr>
    </w:lvl>
    <w:lvl w:ilvl="3" w:tentative="0">
      <w:start w:val="1"/>
      <w:numFmt w:val="decimal"/>
      <w:pStyle w:val="41"/>
      <w:suff w:val="nothing"/>
      <w:lvlText w:val="%1.%2.%3.%4　"/>
      <w:lvlJc w:val="left"/>
      <w:pPr>
        <w:ind w:left="0" w:firstLine="0"/>
      </w:pPr>
      <w:rPr>
        <w:rFonts w:hint="eastAsia" w:ascii="黑体" w:eastAsia="黑体"/>
        <w:b w:val="0"/>
        <w:i w:val="0"/>
        <w:sz w:val="21"/>
      </w:rPr>
    </w:lvl>
    <w:lvl w:ilvl="4" w:tentative="0">
      <w:start w:val="1"/>
      <w:numFmt w:val="decimal"/>
      <w:pStyle w:val="42"/>
      <w:suff w:val="nothing"/>
      <w:lvlText w:val="%1.%2.%3.%4.%5　"/>
      <w:lvlJc w:val="left"/>
      <w:pPr>
        <w:ind w:left="0" w:firstLine="0"/>
      </w:pPr>
      <w:rPr>
        <w:rFonts w:hint="eastAsia" w:ascii="黑体" w:eastAsia="黑体"/>
        <w:b w:val="0"/>
        <w:i w:val="0"/>
        <w:sz w:val="21"/>
      </w:rPr>
    </w:lvl>
    <w:lvl w:ilvl="5" w:tentative="0">
      <w:start w:val="1"/>
      <w:numFmt w:val="decimal"/>
      <w:pStyle w:val="43"/>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6DBF04F4"/>
    <w:multiLevelType w:val="multilevel"/>
    <w:tmpl w:val="6DBF04F4"/>
    <w:lvl w:ilvl="0" w:tentative="0">
      <w:start w:val="1"/>
      <w:numFmt w:val="none"/>
      <w:pStyle w:val="44"/>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5">
    <w:nsid w:val="75E77B85"/>
    <w:multiLevelType w:val="multilevel"/>
    <w:tmpl w:val="75E77B85"/>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6">
    <w:nsid w:val="77CB0462"/>
    <w:multiLevelType w:val="multilevel"/>
    <w:tmpl w:val="77CB0462"/>
    <w:lvl w:ilvl="0" w:tentative="0">
      <w:start w:val="1"/>
      <w:numFmt w:val="lowerLetter"/>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7">
    <w:nsid w:val="7D0C0BA8"/>
    <w:multiLevelType w:val="multilevel"/>
    <w:tmpl w:val="7D0C0BA8"/>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3"/>
  </w:num>
  <w:num w:numId="2">
    <w:abstractNumId w:val="4"/>
  </w:num>
  <w:num w:numId="3">
    <w:abstractNumId w:val="2"/>
  </w:num>
  <w:num w:numId="4">
    <w:abstractNumId w:val="1"/>
  </w:num>
  <w:num w:numId="5">
    <w:abstractNumId w:val="6"/>
  </w:num>
  <w:num w:numId="6">
    <w:abstractNumId w:val="7"/>
  </w:num>
  <w:num w:numId="7">
    <w:abstractNumId w:val="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6"/>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DC"/>
    <w:rsid w:val="00002FDD"/>
    <w:rsid w:val="00024BD6"/>
    <w:rsid w:val="00026208"/>
    <w:rsid w:val="0002717A"/>
    <w:rsid w:val="0004300F"/>
    <w:rsid w:val="00047A3E"/>
    <w:rsid w:val="0005072B"/>
    <w:rsid w:val="00051176"/>
    <w:rsid w:val="000515E8"/>
    <w:rsid w:val="000530D4"/>
    <w:rsid w:val="00055D90"/>
    <w:rsid w:val="0006056E"/>
    <w:rsid w:val="00064BD9"/>
    <w:rsid w:val="00071709"/>
    <w:rsid w:val="000772D8"/>
    <w:rsid w:val="0008480E"/>
    <w:rsid w:val="000917C2"/>
    <w:rsid w:val="000937B9"/>
    <w:rsid w:val="00095499"/>
    <w:rsid w:val="00095807"/>
    <w:rsid w:val="000B6E39"/>
    <w:rsid w:val="000B742D"/>
    <w:rsid w:val="000C121D"/>
    <w:rsid w:val="000C38B8"/>
    <w:rsid w:val="000C44B2"/>
    <w:rsid w:val="000C5DC3"/>
    <w:rsid w:val="000C6BD7"/>
    <w:rsid w:val="000C7D6E"/>
    <w:rsid w:val="000D2532"/>
    <w:rsid w:val="000D6024"/>
    <w:rsid w:val="000D6D8E"/>
    <w:rsid w:val="000E6F89"/>
    <w:rsid w:val="000F5DA0"/>
    <w:rsid w:val="0010414E"/>
    <w:rsid w:val="00107E6C"/>
    <w:rsid w:val="00110825"/>
    <w:rsid w:val="00121A15"/>
    <w:rsid w:val="001423C6"/>
    <w:rsid w:val="00144602"/>
    <w:rsid w:val="00144A58"/>
    <w:rsid w:val="00145C72"/>
    <w:rsid w:val="001661C9"/>
    <w:rsid w:val="001675E8"/>
    <w:rsid w:val="00170A47"/>
    <w:rsid w:val="00172BDD"/>
    <w:rsid w:val="0017584C"/>
    <w:rsid w:val="00177E8A"/>
    <w:rsid w:val="00181687"/>
    <w:rsid w:val="00182206"/>
    <w:rsid w:val="001935B7"/>
    <w:rsid w:val="00195C6D"/>
    <w:rsid w:val="001A11C2"/>
    <w:rsid w:val="001A4BCF"/>
    <w:rsid w:val="001B0299"/>
    <w:rsid w:val="001B3017"/>
    <w:rsid w:val="001B67DB"/>
    <w:rsid w:val="001B7918"/>
    <w:rsid w:val="001C2173"/>
    <w:rsid w:val="001C6E7F"/>
    <w:rsid w:val="001D2167"/>
    <w:rsid w:val="001D3378"/>
    <w:rsid w:val="001D3534"/>
    <w:rsid w:val="001D376E"/>
    <w:rsid w:val="001D6F94"/>
    <w:rsid w:val="001E0632"/>
    <w:rsid w:val="001F00B8"/>
    <w:rsid w:val="001F15B3"/>
    <w:rsid w:val="001F1EDB"/>
    <w:rsid w:val="001F4F1F"/>
    <w:rsid w:val="001F6B2C"/>
    <w:rsid w:val="00200179"/>
    <w:rsid w:val="0020578F"/>
    <w:rsid w:val="002112A6"/>
    <w:rsid w:val="00212AFE"/>
    <w:rsid w:val="00222A75"/>
    <w:rsid w:val="00226967"/>
    <w:rsid w:val="00232126"/>
    <w:rsid w:val="00236DB9"/>
    <w:rsid w:val="00242782"/>
    <w:rsid w:val="00254647"/>
    <w:rsid w:val="00265E2F"/>
    <w:rsid w:val="00267876"/>
    <w:rsid w:val="00276199"/>
    <w:rsid w:val="0027676B"/>
    <w:rsid w:val="00280010"/>
    <w:rsid w:val="002808F6"/>
    <w:rsid w:val="00280BC5"/>
    <w:rsid w:val="0029309B"/>
    <w:rsid w:val="002A0229"/>
    <w:rsid w:val="002A28BF"/>
    <w:rsid w:val="002A493A"/>
    <w:rsid w:val="002B4957"/>
    <w:rsid w:val="002B57C6"/>
    <w:rsid w:val="002C1B5E"/>
    <w:rsid w:val="002C213A"/>
    <w:rsid w:val="002C2E1E"/>
    <w:rsid w:val="002E118D"/>
    <w:rsid w:val="0030169F"/>
    <w:rsid w:val="003024E6"/>
    <w:rsid w:val="003040DC"/>
    <w:rsid w:val="00305A3B"/>
    <w:rsid w:val="0031649B"/>
    <w:rsid w:val="00320AA0"/>
    <w:rsid w:val="00323224"/>
    <w:rsid w:val="00325009"/>
    <w:rsid w:val="003254E6"/>
    <w:rsid w:val="0032670B"/>
    <w:rsid w:val="00335A81"/>
    <w:rsid w:val="00336901"/>
    <w:rsid w:val="00340A56"/>
    <w:rsid w:val="0034161A"/>
    <w:rsid w:val="00343E64"/>
    <w:rsid w:val="0034671B"/>
    <w:rsid w:val="0034719D"/>
    <w:rsid w:val="00351DE9"/>
    <w:rsid w:val="0036499D"/>
    <w:rsid w:val="00365F7B"/>
    <w:rsid w:val="00367EFA"/>
    <w:rsid w:val="003727A7"/>
    <w:rsid w:val="00372E0C"/>
    <w:rsid w:val="00376D36"/>
    <w:rsid w:val="00382616"/>
    <w:rsid w:val="00384D2D"/>
    <w:rsid w:val="00386B61"/>
    <w:rsid w:val="00387764"/>
    <w:rsid w:val="0039121E"/>
    <w:rsid w:val="00393AD4"/>
    <w:rsid w:val="003A43C5"/>
    <w:rsid w:val="003B1C11"/>
    <w:rsid w:val="003B5584"/>
    <w:rsid w:val="003D0829"/>
    <w:rsid w:val="003D497F"/>
    <w:rsid w:val="003D4F58"/>
    <w:rsid w:val="003D6483"/>
    <w:rsid w:val="003E474E"/>
    <w:rsid w:val="003F1935"/>
    <w:rsid w:val="00401ABA"/>
    <w:rsid w:val="00402ED4"/>
    <w:rsid w:val="00405813"/>
    <w:rsid w:val="00415F3E"/>
    <w:rsid w:val="004175A2"/>
    <w:rsid w:val="00421900"/>
    <w:rsid w:val="00435A7D"/>
    <w:rsid w:val="00442500"/>
    <w:rsid w:val="004438D7"/>
    <w:rsid w:val="00445F39"/>
    <w:rsid w:val="00450B64"/>
    <w:rsid w:val="00450BA2"/>
    <w:rsid w:val="00451DD1"/>
    <w:rsid w:val="00457E56"/>
    <w:rsid w:val="004669C3"/>
    <w:rsid w:val="00483728"/>
    <w:rsid w:val="004846E5"/>
    <w:rsid w:val="004A59A0"/>
    <w:rsid w:val="004A7714"/>
    <w:rsid w:val="004B3936"/>
    <w:rsid w:val="004C397B"/>
    <w:rsid w:val="004D07A6"/>
    <w:rsid w:val="004D0A5C"/>
    <w:rsid w:val="004D7B8D"/>
    <w:rsid w:val="004E1513"/>
    <w:rsid w:val="004E5834"/>
    <w:rsid w:val="00500D8A"/>
    <w:rsid w:val="005020DF"/>
    <w:rsid w:val="00502E70"/>
    <w:rsid w:val="005173CC"/>
    <w:rsid w:val="00524A70"/>
    <w:rsid w:val="00526B81"/>
    <w:rsid w:val="00527BCC"/>
    <w:rsid w:val="00536809"/>
    <w:rsid w:val="005424CC"/>
    <w:rsid w:val="00545352"/>
    <w:rsid w:val="0054793B"/>
    <w:rsid w:val="005556F8"/>
    <w:rsid w:val="00561DDC"/>
    <w:rsid w:val="00567411"/>
    <w:rsid w:val="00574062"/>
    <w:rsid w:val="00575F17"/>
    <w:rsid w:val="00580273"/>
    <w:rsid w:val="0058358F"/>
    <w:rsid w:val="005841F8"/>
    <w:rsid w:val="005847DB"/>
    <w:rsid w:val="00587620"/>
    <w:rsid w:val="0059084D"/>
    <w:rsid w:val="00591288"/>
    <w:rsid w:val="00592623"/>
    <w:rsid w:val="005977AF"/>
    <w:rsid w:val="005A14CA"/>
    <w:rsid w:val="005A311F"/>
    <w:rsid w:val="005A59F7"/>
    <w:rsid w:val="005B4B13"/>
    <w:rsid w:val="005C2A11"/>
    <w:rsid w:val="005C354C"/>
    <w:rsid w:val="005C3784"/>
    <w:rsid w:val="005C550B"/>
    <w:rsid w:val="005C653C"/>
    <w:rsid w:val="005D5019"/>
    <w:rsid w:val="005D70AA"/>
    <w:rsid w:val="005E2884"/>
    <w:rsid w:val="005E2FFA"/>
    <w:rsid w:val="005E39D4"/>
    <w:rsid w:val="005E510E"/>
    <w:rsid w:val="005F48E3"/>
    <w:rsid w:val="006124D8"/>
    <w:rsid w:val="00612E91"/>
    <w:rsid w:val="00615205"/>
    <w:rsid w:val="00615F3C"/>
    <w:rsid w:val="00636BC9"/>
    <w:rsid w:val="00636E46"/>
    <w:rsid w:val="00642C1D"/>
    <w:rsid w:val="006442AD"/>
    <w:rsid w:val="006514B0"/>
    <w:rsid w:val="00656CFD"/>
    <w:rsid w:val="00657840"/>
    <w:rsid w:val="00661921"/>
    <w:rsid w:val="00667556"/>
    <w:rsid w:val="00671B61"/>
    <w:rsid w:val="00675E11"/>
    <w:rsid w:val="00677811"/>
    <w:rsid w:val="0068050F"/>
    <w:rsid w:val="006864BA"/>
    <w:rsid w:val="00694C26"/>
    <w:rsid w:val="006978B0"/>
    <w:rsid w:val="006A02A9"/>
    <w:rsid w:val="006A6178"/>
    <w:rsid w:val="006B0648"/>
    <w:rsid w:val="006B09A4"/>
    <w:rsid w:val="006B19D1"/>
    <w:rsid w:val="006B715F"/>
    <w:rsid w:val="006E04CD"/>
    <w:rsid w:val="006E3557"/>
    <w:rsid w:val="006E68AC"/>
    <w:rsid w:val="006E796E"/>
    <w:rsid w:val="007018CD"/>
    <w:rsid w:val="00705324"/>
    <w:rsid w:val="00713138"/>
    <w:rsid w:val="007140DA"/>
    <w:rsid w:val="00717EE8"/>
    <w:rsid w:val="00732684"/>
    <w:rsid w:val="007353A3"/>
    <w:rsid w:val="00736482"/>
    <w:rsid w:val="007471DD"/>
    <w:rsid w:val="00752F39"/>
    <w:rsid w:val="007544A2"/>
    <w:rsid w:val="00771CA2"/>
    <w:rsid w:val="00783F0A"/>
    <w:rsid w:val="00791553"/>
    <w:rsid w:val="007962C3"/>
    <w:rsid w:val="007A0BFD"/>
    <w:rsid w:val="007A6B42"/>
    <w:rsid w:val="007A7055"/>
    <w:rsid w:val="007B0B9B"/>
    <w:rsid w:val="007B1D5D"/>
    <w:rsid w:val="007C32BB"/>
    <w:rsid w:val="007C6587"/>
    <w:rsid w:val="007C75F3"/>
    <w:rsid w:val="007D6BD7"/>
    <w:rsid w:val="007E6D96"/>
    <w:rsid w:val="007E79C5"/>
    <w:rsid w:val="00800025"/>
    <w:rsid w:val="0080147D"/>
    <w:rsid w:val="00801949"/>
    <w:rsid w:val="0080245C"/>
    <w:rsid w:val="00804317"/>
    <w:rsid w:val="00814CC0"/>
    <w:rsid w:val="008169DE"/>
    <w:rsid w:val="0082206A"/>
    <w:rsid w:val="008258A0"/>
    <w:rsid w:val="00832AE7"/>
    <w:rsid w:val="00834F13"/>
    <w:rsid w:val="00837144"/>
    <w:rsid w:val="00850790"/>
    <w:rsid w:val="00862DDD"/>
    <w:rsid w:val="008649C8"/>
    <w:rsid w:val="00865ACC"/>
    <w:rsid w:val="00870AD1"/>
    <w:rsid w:val="00871072"/>
    <w:rsid w:val="00871979"/>
    <w:rsid w:val="00872BEF"/>
    <w:rsid w:val="00873E9C"/>
    <w:rsid w:val="008760BA"/>
    <w:rsid w:val="0088562F"/>
    <w:rsid w:val="00886D29"/>
    <w:rsid w:val="00887761"/>
    <w:rsid w:val="00894979"/>
    <w:rsid w:val="008951FE"/>
    <w:rsid w:val="008A3E58"/>
    <w:rsid w:val="008A5D6B"/>
    <w:rsid w:val="008B5206"/>
    <w:rsid w:val="008B73B4"/>
    <w:rsid w:val="008B74A0"/>
    <w:rsid w:val="008C64D4"/>
    <w:rsid w:val="008C7439"/>
    <w:rsid w:val="008D5127"/>
    <w:rsid w:val="008D6AEE"/>
    <w:rsid w:val="008E048B"/>
    <w:rsid w:val="008F02F1"/>
    <w:rsid w:val="008F74BA"/>
    <w:rsid w:val="00905F75"/>
    <w:rsid w:val="00923C08"/>
    <w:rsid w:val="009277EB"/>
    <w:rsid w:val="00931B33"/>
    <w:rsid w:val="00937B8F"/>
    <w:rsid w:val="00940A30"/>
    <w:rsid w:val="00943B65"/>
    <w:rsid w:val="009446DA"/>
    <w:rsid w:val="00946E87"/>
    <w:rsid w:val="00950EAF"/>
    <w:rsid w:val="00965B4E"/>
    <w:rsid w:val="00971A1F"/>
    <w:rsid w:val="00974A97"/>
    <w:rsid w:val="009822FC"/>
    <w:rsid w:val="00984CB7"/>
    <w:rsid w:val="00990761"/>
    <w:rsid w:val="00992AAF"/>
    <w:rsid w:val="00995651"/>
    <w:rsid w:val="00995E2A"/>
    <w:rsid w:val="009A13BA"/>
    <w:rsid w:val="009A2C96"/>
    <w:rsid w:val="009A5F11"/>
    <w:rsid w:val="009A7FED"/>
    <w:rsid w:val="009B4728"/>
    <w:rsid w:val="009D2782"/>
    <w:rsid w:val="009D2A42"/>
    <w:rsid w:val="009D32C6"/>
    <w:rsid w:val="009E31D3"/>
    <w:rsid w:val="00A02827"/>
    <w:rsid w:val="00A028D2"/>
    <w:rsid w:val="00A111E6"/>
    <w:rsid w:val="00A1151C"/>
    <w:rsid w:val="00A1402E"/>
    <w:rsid w:val="00A142CC"/>
    <w:rsid w:val="00A15087"/>
    <w:rsid w:val="00A162B4"/>
    <w:rsid w:val="00A2103D"/>
    <w:rsid w:val="00A32617"/>
    <w:rsid w:val="00A34607"/>
    <w:rsid w:val="00A44102"/>
    <w:rsid w:val="00A478D7"/>
    <w:rsid w:val="00A51EDB"/>
    <w:rsid w:val="00A52C32"/>
    <w:rsid w:val="00A56B0C"/>
    <w:rsid w:val="00A56D80"/>
    <w:rsid w:val="00A61466"/>
    <w:rsid w:val="00A6262D"/>
    <w:rsid w:val="00A6550F"/>
    <w:rsid w:val="00A65A19"/>
    <w:rsid w:val="00A66756"/>
    <w:rsid w:val="00A75CC7"/>
    <w:rsid w:val="00A86316"/>
    <w:rsid w:val="00A9425E"/>
    <w:rsid w:val="00A94C06"/>
    <w:rsid w:val="00AA04E4"/>
    <w:rsid w:val="00AA4750"/>
    <w:rsid w:val="00AB44B2"/>
    <w:rsid w:val="00AC0CC2"/>
    <w:rsid w:val="00AC411E"/>
    <w:rsid w:val="00AC45B6"/>
    <w:rsid w:val="00AD116B"/>
    <w:rsid w:val="00AD12C6"/>
    <w:rsid w:val="00AD6A8F"/>
    <w:rsid w:val="00AE22B0"/>
    <w:rsid w:val="00AE7293"/>
    <w:rsid w:val="00AF0945"/>
    <w:rsid w:val="00AF3197"/>
    <w:rsid w:val="00B16297"/>
    <w:rsid w:val="00B208E0"/>
    <w:rsid w:val="00B24E8F"/>
    <w:rsid w:val="00B27504"/>
    <w:rsid w:val="00B32960"/>
    <w:rsid w:val="00B34942"/>
    <w:rsid w:val="00B3753E"/>
    <w:rsid w:val="00B377C8"/>
    <w:rsid w:val="00B418FD"/>
    <w:rsid w:val="00B5454F"/>
    <w:rsid w:val="00B54B91"/>
    <w:rsid w:val="00B60DB4"/>
    <w:rsid w:val="00B6466C"/>
    <w:rsid w:val="00B70D90"/>
    <w:rsid w:val="00B7178F"/>
    <w:rsid w:val="00B72C01"/>
    <w:rsid w:val="00B761C1"/>
    <w:rsid w:val="00B81803"/>
    <w:rsid w:val="00B85DBA"/>
    <w:rsid w:val="00BA6128"/>
    <w:rsid w:val="00BA7077"/>
    <w:rsid w:val="00BB0BE2"/>
    <w:rsid w:val="00BB24B8"/>
    <w:rsid w:val="00BB7F56"/>
    <w:rsid w:val="00BD21BF"/>
    <w:rsid w:val="00BD2EC9"/>
    <w:rsid w:val="00BD4377"/>
    <w:rsid w:val="00BD736A"/>
    <w:rsid w:val="00BE78E6"/>
    <w:rsid w:val="00BF076C"/>
    <w:rsid w:val="00BF61B9"/>
    <w:rsid w:val="00BF62AA"/>
    <w:rsid w:val="00C12875"/>
    <w:rsid w:val="00C17D7E"/>
    <w:rsid w:val="00C20BD5"/>
    <w:rsid w:val="00C2273B"/>
    <w:rsid w:val="00C2340D"/>
    <w:rsid w:val="00C25C75"/>
    <w:rsid w:val="00C33CAE"/>
    <w:rsid w:val="00C37F4A"/>
    <w:rsid w:val="00C61B40"/>
    <w:rsid w:val="00C64C35"/>
    <w:rsid w:val="00C64CD8"/>
    <w:rsid w:val="00C67218"/>
    <w:rsid w:val="00C678E5"/>
    <w:rsid w:val="00C713EF"/>
    <w:rsid w:val="00C71642"/>
    <w:rsid w:val="00C77197"/>
    <w:rsid w:val="00C90C5E"/>
    <w:rsid w:val="00CA0A55"/>
    <w:rsid w:val="00CA5E6E"/>
    <w:rsid w:val="00CA69B2"/>
    <w:rsid w:val="00CB121F"/>
    <w:rsid w:val="00CB2495"/>
    <w:rsid w:val="00CB4196"/>
    <w:rsid w:val="00CC3F7E"/>
    <w:rsid w:val="00CD4A6C"/>
    <w:rsid w:val="00CD5B2B"/>
    <w:rsid w:val="00CE1A77"/>
    <w:rsid w:val="00CE3172"/>
    <w:rsid w:val="00CF2F5A"/>
    <w:rsid w:val="00CF46A3"/>
    <w:rsid w:val="00D13C7E"/>
    <w:rsid w:val="00D15876"/>
    <w:rsid w:val="00D244EC"/>
    <w:rsid w:val="00D25B86"/>
    <w:rsid w:val="00D25DF9"/>
    <w:rsid w:val="00D26E6A"/>
    <w:rsid w:val="00D31F77"/>
    <w:rsid w:val="00D366C6"/>
    <w:rsid w:val="00D4091A"/>
    <w:rsid w:val="00D4206D"/>
    <w:rsid w:val="00D5149B"/>
    <w:rsid w:val="00D51BA3"/>
    <w:rsid w:val="00D52C20"/>
    <w:rsid w:val="00D535C5"/>
    <w:rsid w:val="00D53B11"/>
    <w:rsid w:val="00D5506E"/>
    <w:rsid w:val="00D57B6E"/>
    <w:rsid w:val="00D629BC"/>
    <w:rsid w:val="00D72ACB"/>
    <w:rsid w:val="00D8438E"/>
    <w:rsid w:val="00D90118"/>
    <w:rsid w:val="00D9322A"/>
    <w:rsid w:val="00D958C2"/>
    <w:rsid w:val="00DA7258"/>
    <w:rsid w:val="00DA77BC"/>
    <w:rsid w:val="00DB0C1D"/>
    <w:rsid w:val="00DB2D4C"/>
    <w:rsid w:val="00DB30B5"/>
    <w:rsid w:val="00DB46DB"/>
    <w:rsid w:val="00DC08E9"/>
    <w:rsid w:val="00DC3313"/>
    <w:rsid w:val="00DD03EA"/>
    <w:rsid w:val="00DD4871"/>
    <w:rsid w:val="00DD50BB"/>
    <w:rsid w:val="00DD56A2"/>
    <w:rsid w:val="00DD5A0A"/>
    <w:rsid w:val="00DD5B12"/>
    <w:rsid w:val="00DE5198"/>
    <w:rsid w:val="00DE5611"/>
    <w:rsid w:val="00DF7AF2"/>
    <w:rsid w:val="00DF7EF6"/>
    <w:rsid w:val="00E02DF8"/>
    <w:rsid w:val="00E02ED3"/>
    <w:rsid w:val="00E03BA9"/>
    <w:rsid w:val="00E07D80"/>
    <w:rsid w:val="00E124CD"/>
    <w:rsid w:val="00E1642B"/>
    <w:rsid w:val="00E167B1"/>
    <w:rsid w:val="00E17119"/>
    <w:rsid w:val="00E26B06"/>
    <w:rsid w:val="00E32537"/>
    <w:rsid w:val="00E35341"/>
    <w:rsid w:val="00E361EF"/>
    <w:rsid w:val="00E41EB4"/>
    <w:rsid w:val="00E5034D"/>
    <w:rsid w:val="00E50D0A"/>
    <w:rsid w:val="00E5298D"/>
    <w:rsid w:val="00E64468"/>
    <w:rsid w:val="00E703CF"/>
    <w:rsid w:val="00E774A1"/>
    <w:rsid w:val="00E90D1F"/>
    <w:rsid w:val="00E95D95"/>
    <w:rsid w:val="00E978DE"/>
    <w:rsid w:val="00EA1055"/>
    <w:rsid w:val="00EA61B2"/>
    <w:rsid w:val="00EB2F88"/>
    <w:rsid w:val="00EB4FBB"/>
    <w:rsid w:val="00EB73C8"/>
    <w:rsid w:val="00EC0AC1"/>
    <w:rsid w:val="00EC1D5D"/>
    <w:rsid w:val="00EC2380"/>
    <w:rsid w:val="00EC691A"/>
    <w:rsid w:val="00EC759F"/>
    <w:rsid w:val="00ED4B24"/>
    <w:rsid w:val="00EE0B7E"/>
    <w:rsid w:val="00EE5B85"/>
    <w:rsid w:val="00F00801"/>
    <w:rsid w:val="00F00C3C"/>
    <w:rsid w:val="00F05527"/>
    <w:rsid w:val="00F06AE6"/>
    <w:rsid w:val="00F103B5"/>
    <w:rsid w:val="00F22066"/>
    <w:rsid w:val="00F22E98"/>
    <w:rsid w:val="00F32FCA"/>
    <w:rsid w:val="00F41D68"/>
    <w:rsid w:val="00F45727"/>
    <w:rsid w:val="00F47F09"/>
    <w:rsid w:val="00F56C60"/>
    <w:rsid w:val="00F579A3"/>
    <w:rsid w:val="00F6170D"/>
    <w:rsid w:val="00F6273A"/>
    <w:rsid w:val="00F65EAD"/>
    <w:rsid w:val="00F74039"/>
    <w:rsid w:val="00F74545"/>
    <w:rsid w:val="00F76A47"/>
    <w:rsid w:val="00F77BAA"/>
    <w:rsid w:val="00F832DA"/>
    <w:rsid w:val="00F84031"/>
    <w:rsid w:val="00F84C34"/>
    <w:rsid w:val="00F86053"/>
    <w:rsid w:val="00F942B5"/>
    <w:rsid w:val="00FA42AF"/>
    <w:rsid w:val="00FC53AE"/>
    <w:rsid w:val="00FF0677"/>
    <w:rsid w:val="00FF11F4"/>
    <w:rsid w:val="00FF5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name="Balloon Text"/>
    <w:lsdException w:qFormat="1" w:unhideWhenUsed="0" w:uiPriority="3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6"/>
    <w:qFormat/>
    <w:uiPriority w:val="0"/>
    <w:pPr>
      <w:jc w:val="left"/>
    </w:pPr>
    <w:rPr>
      <w:szCs w:val="20"/>
    </w:rPr>
  </w:style>
  <w:style w:type="paragraph" w:styleId="3">
    <w:name w:val="endnote text"/>
    <w:basedOn w:val="1"/>
    <w:link w:val="29"/>
    <w:unhideWhenUsed/>
    <w:qFormat/>
    <w:uiPriority w:val="99"/>
    <w:pPr>
      <w:snapToGrid w:val="0"/>
      <w:spacing w:line="500" w:lineRule="exact"/>
      <w:ind w:firstLine="200" w:firstLineChars="200"/>
      <w:jc w:val="left"/>
    </w:pPr>
    <w:rPr>
      <w:rFonts w:ascii="Calibri" w:hAnsi="Calibri"/>
      <w:kern w:val="0"/>
      <w:sz w:val="24"/>
      <w:szCs w:val="20"/>
    </w:rPr>
  </w:style>
  <w:style w:type="paragraph" w:styleId="4">
    <w:name w:val="Balloon Text"/>
    <w:basedOn w:val="1"/>
    <w:link w:val="24"/>
    <w:semiHidden/>
    <w:unhideWhenUsed/>
    <w:qFormat/>
    <w:uiPriority w:val="99"/>
    <w:rPr>
      <w:rFonts w:ascii="等线" w:hAnsi="等线" w:eastAsia="等线"/>
      <w:sz w:val="18"/>
      <w:szCs w:val="18"/>
    </w:rPr>
  </w:style>
  <w:style w:type="paragraph" w:styleId="5">
    <w:name w:val="footer"/>
    <w:basedOn w:val="1"/>
    <w:link w:val="17"/>
    <w:qFormat/>
    <w:uiPriority w:val="99"/>
    <w:pPr>
      <w:tabs>
        <w:tab w:val="center" w:pos="4153"/>
        <w:tab w:val="right" w:pos="8306"/>
      </w:tabs>
      <w:snapToGrid w:val="0"/>
      <w:jc w:val="left"/>
    </w:pPr>
    <w:rPr>
      <w:sz w:val="18"/>
      <w:szCs w:val="18"/>
    </w:rPr>
  </w:style>
  <w:style w:type="paragraph" w:styleId="6">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2"/>
    <w:next w:val="2"/>
    <w:link w:val="30"/>
    <w:semiHidden/>
    <w:unhideWhenUsed/>
    <w:qFormat/>
    <w:uiPriority w:val="99"/>
    <w:rPr>
      <w:rFonts w:ascii="等线" w:hAnsi="等线" w:eastAsia="等线"/>
      <w:b/>
      <w:bCs/>
      <w:szCs w:val="22"/>
    </w:rPr>
  </w:style>
  <w:style w:type="table" w:styleId="10">
    <w:name w:val="Table Grid"/>
    <w:basedOn w:val="9"/>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99"/>
    <w:rPr>
      <w:color w:val="0563C1" w:themeColor="hyperlink"/>
      <w:u w:val="single"/>
      <w14:textFill>
        <w14:solidFill>
          <w14:schemeClr w14:val="hlink"/>
        </w14:solidFill>
      </w14:textFill>
    </w:rPr>
  </w:style>
  <w:style w:type="character" w:styleId="13">
    <w:name w:val="annotation reference"/>
    <w:qFormat/>
    <w:uiPriority w:val="0"/>
    <w:rPr>
      <w:sz w:val="21"/>
      <w:szCs w:val="21"/>
    </w:rPr>
  </w:style>
  <w:style w:type="paragraph" w:customStyle="1" w:styleId="1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5">
    <w:name w:val="Char Char Char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6">
    <w:name w:val="页眉 字符"/>
    <w:link w:val="6"/>
    <w:qFormat/>
    <w:uiPriority w:val="0"/>
    <w:rPr>
      <w:kern w:val="2"/>
      <w:sz w:val="18"/>
      <w:szCs w:val="18"/>
    </w:rPr>
  </w:style>
  <w:style w:type="character" w:customStyle="1" w:styleId="17">
    <w:name w:val="页脚 字符"/>
    <w:link w:val="5"/>
    <w:qFormat/>
    <w:uiPriority w:val="99"/>
    <w:rPr>
      <w:kern w:val="2"/>
      <w:sz w:val="18"/>
      <w:szCs w:val="18"/>
    </w:rPr>
  </w:style>
  <w:style w:type="paragraph" w:customStyle="1" w:styleId="18">
    <w:name w:val="Table body"/>
    <w:basedOn w:val="1"/>
    <w:qFormat/>
    <w:uiPriority w:val="0"/>
    <w:pPr>
      <w:widowControl/>
      <w:spacing w:before="60" w:after="60" w:line="210" w:lineRule="atLeast"/>
      <w:jc w:val="left"/>
    </w:pPr>
    <w:rPr>
      <w:rFonts w:ascii="Arial" w:hAnsi="Arial" w:eastAsia="Calibri"/>
      <w:kern w:val="0"/>
      <w:sz w:val="20"/>
      <w:szCs w:val="22"/>
      <w:lang w:val="en-GB" w:eastAsia="en-US"/>
    </w:rPr>
  </w:style>
  <w:style w:type="paragraph" w:customStyle="1" w:styleId="19">
    <w:name w:val="Table header"/>
    <w:basedOn w:val="18"/>
    <w:qFormat/>
    <w:uiPriority w:val="0"/>
    <w:pPr>
      <w:tabs>
        <w:tab w:val="left" w:pos="397"/>
        <w:tab w:val="left" w:pos="794"/>
        <w:tab w:val="left" w:pos="1191"/>
        <w:tab w:val="left" w:pos="1588"/>
        <w:tab w:val="left" w:pos="1985"/>
        <w:tab w:val="left" w:pos="2381"/>
        <w:tab w:val="left" w:pos="2778"/>
        <w:tab w:val="left" w:pos="3175"/>
        <w:tab w:val="left" w:pos="3572"/>
        <w:tab w:val="left" w:pos="3969"/>
      </w:tabs>
    </w:pPr>
    <w:rPr>
      <w:rFonts w:ascii="Cambria" w:hAnsi="Cambria"/>
    </w:rPr>
  </w:style>
  <w:style w:type="character" w:customStyle="1" w:styleId="20">
    <w:name w:val="fontstyle01"/>
    <w:basedOn w:val="11"/>
    <w:qFormat/>
    <w:uiPriority w:val="0"/>
    <w:rPr>
      <w:rFonts w:hint="eastAsia" w:ascii="宋体" w:hAnsi="宋体" w:eastAsia="宋体"/>
      <w:color w:val="000000"/>
      <w:sz w:val="24"/>
      <w:szCs w:val="24"/>
    </w:rPr>
  </w:style>
  <w:style w:type="character" w:customStyle="1" w:styleId="21">
    <w:name w:val="fontstyle11"/>
    <w:basedOn w:val="11"/>
    <w:qFormat/>
    <w:uiPriority w:val="0"/>
    <w:rPr>
      <w:rFonts w:hint="default" w:ascii="TimesNewRomanPSMT" w:hAnsi="TimesNewRomanPSMT"/>
      <w:color w:val="000000"/>
      <w:sz w:val="24"/>
      <w:szCs w:val="24"/>
    </w:rPr>
  </w:style>
  <w:style w:type="paragraph" w:styleId="22">
    <w:name w:val="List Paragraph"/>
    <w:basedOn w:val="1"/>
    <w:qFormat/>
    <w:uiPriority w:val="34"/>
    <w:pPr>
      <w:ind w:firstLine="420" w:firstLineChars="200"/>
    </w:pPr>
  </w:style>
  <w:style w:type="paragraph" w:customStyle="1" w:styleId="23">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24">
    <w:name w:val="批注框文本 字符"/>
    <w:basedOn w:val="11"/>
    <w:link w:val="4"/>
    <w:semiHidden/>
    <w:qFormat/>
    <w:uiPriority w:val="99"/>
    <w:rPr>
      <w:rFonts w:ascii="等线" w:hAnsi="等线" w:eastAsia="等线"/>
      <w:kern w:val="2"/>
      <w:sz w:val="18"/>
      <w:szCs w:val="18"/>
    </w:rPr>
  </w:style>
  <w:style w:type="paragraph" w:customStyle="1" w:styleId="25">
    <w:name w:val="列出段落1"/>
    <w:basedOn w:val="1"/>
    <w:qFormat/>
    <w:uiPriority w:val="34"/>
    <w:pPr>
      <w:ind w:firstLine="420" w:firstLineChars="200"/>
    </w:pPr>
    <w:rPr>
      <w:rFonts w:ascii="等线" w:hAnsi="等线" w:eastAsia="等线"/>
      <w:szCs w:val="22"/>
    </w:rPr>
  </w:style>
  <w:style w:type="character" w:customStyle="1" w:styleId="26">
    <w:name w:val="批注文字 字符"/>
    <w:basedOn w:val="11"/>
    <w:link w:val="2"/>
    <w:qFormat/>
    <w:uiPriority w:val="0"/>
    <w:rPr>
      <w:kern w:val="2"/>
      <w:sz w:val="21"/>
    </w:rPr>
  </w:style>
  <w:style w:type="character" w:customStyle="1" w:styleId="27">
    <w:name w:val="未处理的提及1"/>
    <w:semiHidden/>
    <w:unhideWhenUsed/>
    <w:qFormat/>
    <w:uiPriority w:val="99"/>
    <w:rPr>
      <w:color w:val="605E5C"/>
      <w:shd w:val="clear" w:color="auto" w:fill="E1DFDD"/>
    </w:rPr>
  </w:style>
  <w:style w:type="character" w:customStyle="1" w:styleId="28">
    <w:name w:val="尾注文本 字符"/>
    <w:basedOn w:val="11"/>
    <w:qFormat/>
    <w:uiPriority w:val="99"/>
    <w:rPr>
      <w:kern w:val="2"/>
      <w:sz w:val="21"/>
      <w:szCs w:val="24"/>
    </w:rPr>
  </w:style>
  <w:style w:type="character" w:customStyle="1" w:styleId="29">
    <w:name w:val="尾注文本 字符1"/>
    <w:link w:val="3"/>
    <w:qFormat/>
    <w:uiPriority w:val="99"/>
    <w:rPr>
      <w:rFonts w:ascii="Calibri" w:hAnsi="Calibri"/>
      <w:sz w:val="24"/>
    </w:rPr>
  </w:style>
  <w:style w:type="character" w:customStyle="1" w:styleId="30">
    <w:name w:val="批注主题 字符"/>
    <w:basedOn w:val="26"/>
    <w:link w:val="8"/>
    <w:semiHidden/>
    <w:qFormat/>
    <w:uiPriority w:val="99"/>
    <w:rPr>
      <w:rFonts w:ascii="等线" w:hAnsi="等线" w:eastAsia="等线"/>
      <w:b/>
      <w:bCs/>
      <w:kern w:val="2"/>
      <w:sz w:val="21"/>
      <w:szCs w:val="22"/>
    </w:rPr>
  </w:style>
  <w:style w:type="character" w:styleId="31">
    <w:name w:val="Placeholder Text"/>
    <w:semiHidden/>
    <w:qFormat/>
    <w:uiPriority w:val="99"/>
    <w:rPr>
      <w:color w:val="808080"/>
    </w:rPr>
  </w:style>
  <w:style w:type="paragraph" w:customStyle="1" w:styleId="32">
    <w:name w:val="标准文件_段"/>
    <w:link w:val="3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3">
    <w:name w:val="标准文件_段 Char"/>
    <w:link w:val="32"/>
    <w:qFormat/>
    <w:uiPriority w:val="0"/>
    <w:rPr>
      <w:rFonts w:ascii="宋体"/>
      <w:sz w:val="21"/>
    </w:rPr>
  </w:style>
  <w:style w:type="paragraph" w:customStyle="1" w:styleId="34">
    <w:name w:val="三级无"/>
    <w:basedOn w:val="1"/>
    <w:qFormat/>
    <w:uiPriority w:val="0"/>
    <w:pPr>
      <w:widowControl/>
      <w:jc w:val="left"/>
      <w:outlineLvl w:val="4"/>
    </w:pPr>
    <w:rPr>
      <w:rFonts w:ascii="宋体"/>
      <w:kern w:val="0"/>
      <w:szCs w:val="21"/>
    </w:rPr>
  </w:style>
  <w:style w:type="character" w:customStyle="1" w:styleId="35">
    <w:name w:val="未处理的提及2"/>
    <w:basedOn w:val="11"/>
    <w:semiHidden/>
    <w:unhideWhenUsed/>
    <w:qFormat/>
    <w:uiPriority w:val="99"/>
    <w:rPr>
      <w:color w:val="605E5C"/>
      <w:shd w:val="clear" w:color="auto" w:fill="E1DFDD"/>
    </w:rPr>
  </w:style>
  <w:style w:type="character" w:customStyle="1" w:styleId="36">
    <w:name w:val="Body text|1_"/>
    <w:basedOn w:val="11"/>
    <w:link w:val="37"/>
    <w:qFormat/>
    <w:uiPriority w:val="0"/>
    <w:rPr>
      <w:rFonts w:ascii="宋体" w:hAnsi="宋体" w:cs="宋体"/>
      <w:sz w:val="22"/>
      <w:lang w:val="zh-TW" w:eastAsia="zh-TW" w:bidi="zh-TW"/>
    </w:rPr>
  </w:style>
  <w:style w:type="paragraph" w:customStyle="1" w:styleId="37">
    <w:name w:val="Body text|1"/>
    <w:basedOn w:val="1"/>
    <w:link w:val="36"/>
    <w:qFormat/>
    <w:uiPriority w:val="0"/>
    <w:pPr>
      <w:spacing w:line="425" w:lineRule="auto"/>
      <w:ind w:firstLine="400"/>
      <w:jc w:val="left"/>
    </w:pPr>
    <w:rPr>
      <w:rFonts w:ascii="宋体" w:hAnsi="宋体" w:cs="宋体"/>
      <w:kern w:val="0"/>
      <w:sz w:val="22"/>
      <w:szCs w:val="20"/>
      <w:lang w:val="zh-TW" w:eastAsia="zh-TW" w:bidi="zh-TW"/>
    </w:rPr>
  </w:style>
  <w:style w:type="paragraph" w:customStyle="1" w:styleId="38">
    <w:name w:val="标准文件_附录标识"/>
    <w:next w:val="32"/>
    <w:qFormat/>
    <w:uiPriority w:val="0"/>
    <w:pPr>
      <w:numPr>
        <w:ilvl w:val="0"/>
        <w:numId w:val="1"/>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39">
    <w:name w:val="标准文件_附录一级条标题"/>
    <w:next w:val="32"/>
    <w:qFormat/>
    <w:uiPriority w:val="0"/>
    <w:pPr>
      <w:widowControl w:val="0"/>
      <w:numPr>
        <w:ilvl w:val="1"/>
        <w:numId w:val="1"/>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40">
    <w:name w:val="标准文件_附录二级条标题"/>
    <w:basedOn w:val="39"/>
    <w:next w:val="32"/>
    <w:qFormat/>
    <w:uiPriority w:val="0"/>
    <w:pPr>
      <w:widowControl/>
      <w:numPr>
        <w:ilvl w:val="2"/>
      </w:numPr>
      <w:wordWrap w:val="0"/>
      <w:overflowPunct w:val="0"/>
      <w:autoSpaceDE w:val="0"/>
      <w:autoSpaceDN w:val="0"/>
      <w:textAlignment w:val="baseline"/>
      <w:outlineLvl w:val="3"/>
    </w:pPr>
  </w:style>
  <w:style w:type="paragraph" w:customStyle="1" w:styleId="41">
    <w:name w:val="标准文件_附录三级条标题"/>
    <w:next w:val="32"/>
    <w:qFormat/>
    <w:uiPriority w:val="0"/>
    <w:pPr>
      <w:widowControl w:val="0"/>
      <w:numPr>
        <w:ilvl w:val="3"/>
        <w:numId w:val="1"/>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42">
    <w:name w:val="标准文件_附录四级条标题"/>
    <w:next w:val="32"/>
    <w:qFormat/>
    <w:uiPriority w:val="0"/>
    <w:pPr>
      <w:widowControl w:val="0"/>
      <w:numPr>
        <w:ilvl w:val="4"/>
        <w:numId w:val="1"/>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43">
    <w:name w:val="标准文件_附录五级条标题"/>
    <w:next w:val="32"/>
    <w:qFormat/>
    <w:uiPriority w:val="0"/>
    <w:pPr>
      <w:widowControl w:val="0"/>
      <w:numPr>
        <w:ilvl w:val="5"/>
        <w:numId w:val="1"/>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44">
    <w:name w:val="标准文件_注："/>
    <w:next w:val="32"/>
    <w:uiPriority w:val="0"/>
    <w:pPr>
      <w:widowControl w:val="0"/>
      <w:numPr>
        <w:ilvl w:val="0"/>
        <w:numId w:val="2"/>
      </w:numPr>
      <w:autoSpaceDE w:val="0"/>
      <w:autoSpaceDN w:val="0"/>
      <w:jc w:val="both"/>
    </w:pPr>
    <w:rPr>
      <w:rFonts w:ascii="宋体" w:hAnsi="Times New Roman" w:eastAsia="宋体" w:cs="Times New Roman"/>
      <w:sz w:val="18"/>
      <w:szCs w:val="18"/>
      <w:lang w:val="en-US" w:eastAsia="zh-CN" w:bidi="ar-SA"/>
    </w:rPr>
  </w:style>
  <w:style w:type="paragraph" w:customStyle="1" w:styleId="45">
    <w:name w:val="标准文件_附录表标题"/>
    <w:next w:val="32"/>
    <w:qFormat/>
    <w:uiPriority w:val="0"/>
    <w:pPr>
      <w:numPr>
        <w:ilvl w:val="1"/>
        <w:numId w:val="3"/>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46">
    <w:name w:val="标准文件_表格"/>
    <w:basedOn w:val="32"/>
    <w:qFormat/>
    <w:uiPriority w:val="0"/>
    <w:pPr>
      <w:ind w:firstLine="0" w:firstLineChars="0"/>
      <w:jc w:val="center"/>
    </w:pPr>
    <w:rPr>
      <w:rFonts w:ascii="Times New Roman"/>
      <w:sz w:val="18"/>
    </w:rPr>
  </w:style>
  <w:style w:type="paragraph" w:customStyle="1" w:styleId="47">
    <w:name w:val="标准文件_附录表标号"/>
    <w:basedOn w:val="32"/>
    <w:next w:val="32"/>
    <w:qFormat/>
    <w:uiPriority w:val="0"/>
    <w:pPr>
      <w:numPr>
        <w:ilvl w:val="0"/>
        <w:numId w:val="3"/>
      </w:numPr>
      <w:spacing w:line="14" w:lineRule="exact"/>
      <w:ind w:firstLine="0" w:firstLineChars="0"/>
      <w:jc w:val="center"/>
    </w:pPr>
    <w:rPr>
      <w:rFonts w:ascii="Times New Roman" w:eastAsia="黑体"/>
      <w:vanish/>
      <w:sz w:val="2"/>
    </w:rPr>
  </w:style>
  <w:style w:type="paragraph" w:customStyle="1" w:styleId="48">
    <w:name w:val="标准文件_图表脚注"/>
    <w:basedOn w:val="1"/>
    <w:next w:val="32"/>
    <w:qFormat/>
    <w:uiPriority w:val="0"/>
    <w:pPr>
      <w:numPr>
        <w:ilvl w:val="0"/>
        <w:numId w:val="4"/>
      </w:numPr>
      <w:adjustRightInd w:val="0"/>
      <w:jc w:val="left"/>
    </w:pPr>
    <w:rPr>
      <w:rFonts w:ascii="宋体" w:hAnsi="宋体"/>
      <w:sz w:val="18"/>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my company</Company>
  <Pages>9</Pages>
  <Words>3694</Words>
  <Characters>4940</Characters>
  <Lines>50</Lines>
  <Paragraphs>14</Paragraphs>
  <TotalTime>12</TotalTime>
  <ScaleCrop>false</ScaleCrop>
  <LinksUpToDate>false</LinksUpToDate>
  <CharactersWithSpaces>5009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2026-06-09T08:41:00Z</dcterms:created>
  <dc:creator>my company</dc:creator>
  <cp:lastModifiedBy>赵占诗</cp:lastModifiedBy>
  <dcterms:modified xsi:type="dcterms:W3CDTF">2026-07-30T06:53:40Z</dcterms:modified>
  <dc:title>国家标准或行业标准编制说明及有关附件的基本要求</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eyJoZGlkIjoiNzAzZTRhYjk3MWI3MmI2MzczMzYyZWEyOWM3Y2EzODciLCJ1c2VySWQiOiIzOTczNjgzOTUifQ==</vt:lpwstr>
  </property>
  <property fmtid="{D5CDD505-2E9C-101B-9397-08002B2CF9AE}" pid="3" name="KSOProductBuildVer">
    <vt:lpwstr>2052-12.1.0.26895</vt:lpwstr>
  </property>
  <property fmtid="{D5CDD505-2E9C-101B-9397-08002B2CF9AE}" pid="4" name="ICV">
    <vt:lpwstr>1A6580B7C8E840CFB3FF6EEE4770D566_13</vt:lpwstr>
  </property>
</Properties>
</file>